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11C" w:rsidRPr="006345BF" w:rsidRDefault="004B411C" w:rsidP="004B411C">
      <w:pPr>
        <w:pStyle w:val="Header"/>
        <w:jc w:val="center"/>
        <w:rPr>
          <w:rFonts w:asciiTheme="minorHAnsi" w:hAnsiTheme="minorHAnsi" w:cs="Arial"/>
          <w:color w:val="365F91" w:themeColor="accent1" w:themeShade="BF"/>
          <w:sz w:val="24"/>
          <w:szCs w:val="24"/>
        </w:rPr>
      </w:pPr>
      <w:r w:rsidRPr="006345BF">
        <w:rPr>
          <w:rFonts w:asciiTheme="minorHAnsi" w:hAnsiTheme="minorHAnsi" w:cs="Arial"/>
          <w:color w:val="365F91" w:themeColor="accent1" w:themeShade="BF"/>
          <w:sz w:val="24"/>
          <w:szCs w:val="24"/>
        </w:rPr>
        <w:t>NATIONAL OCEANIC AND ATMOSPHERIC ADMINISTRATION</w:t>
      </w:r>
    </w:p>
    <w:p w:rsidR="004B411C" w:rsidRDefault="004B411C" w:rsidP="00F118AF">
      <w:pPr>
        <w:pStyle w:val="Header"/>
        <w:spacing w:after="1200"/>
        <w:jc w:val="center"/>
        <w:rPr>
          <w:rFonts w:asciiTheme="minorHAnsi" w:hAnsiTheme="minorHAnsi" w:cs="Arial"/>
        </w:rPr>
      </w:pPr>
      <w:r w:rsidRPr="006345BF">
        <w:rPr>
          <w:rFonts w:asciiTheme="minorHAnsi" w:hAnsiTheme="minorHAnsi" w:cs="Arial"/>
          <w:color w:val="365F91" w:themeColor="accent1" w:themeShade="BF"/>
          <w:sz w:val="24"/>
          <w:szCs w:val="24"/>
        </w:rPr>
        <w:t>US DEPARTMENT OF COMMERCE</w:t>
      </w:r>
    </w:p>
    <w:p w:rsidR="004B411C" w:rsidRPr="006345BF" w:rsidRDefault="00FF03EB" w:rsidP="00F118AF">
      <w:pPr>
        <w:jc w:val="right"/>
        <w:rPr>
          <w:rFonts w:asciiTheme="minorHAnsi" w:hAnsiTheme="minorHAnsi" w:cs="Arial"/>
          <w:color w:val="17365D" w:themeColor="text2" w:themeShade="BF"/>
          <w:sz w:val="56"/>
          <w:szCs w:val="56"/>
        </w:rPr>
      </w:pPr>
      <w:r>
        <w:rPr>
          <w:rFonts w:asciiTheme="minorHAnsi" w:hAnsiTheme="minorHAnsi" w:cs="Arial"/>
          <w:noProof/>
          <w:color w:val="17365D" w:themeColor="text2" w:themeShade="BF"/>
          <w:sz w:val="56"/>
          <w:szCs w:val="56"/>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1492250</wp:posOffset>
                </wp:positionV>
                <wp:extent cx="5934075" cy="0"/>
                <wp:effectExtent l="19050" t="15875" r="19050" b="22225"/>
                <wp:wrapNone/>
                <wp:docPr id="14" name="AutoShape 2" title="blue verticl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CCDA7D" id="_x0000_t32" coordsize="21600,21600" o:spt="32" o:oned="t" path="m,l21600,21600e" filled="f">
                <v:path arrowok="t" fillok="f" o:connecttype="none"/>
                <o:lock v:ext="edit" shapetype="t"/>
              </v:shapetype>
              <v:shape id="AutoShape 2" o:spid="_x0000_s1026" type="#_x0000_t32" alt="Title: blue verticle line" style="position:absolute;margin-left:.75pt;margin-top:117.5pt;width:467.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" strokecolor="#548dd4" strokeweight="2.25pt"/>
            </w:pict>
          </mc:Fallback>
        </mc:AlternateContent>
      </w:r>
      <w:r w:rsidR="004B411C" w:rsidRPr="006345BF">
        <w:rPr>
          <w:rFonts w:asciiTheme="minorHAnsi" w:hAnsiTheme="minorHAnsi" w:cs="Arial"/>
          <w:color w:val="17365D" w:themeColor="text2" w:themeShade="BF"/>
          <w:sz w:val="56"/>
          <w:szCs w:val="56"/>
        </w:rPr>
        <w:t xml:space="preserve">A Bibliometric Analysis of Articles by NOAA-Affiliated </w:t>
      </w:r>
      <w:r w:rsidR="00C50C18">
        <w:rPr>
          <w:rFonts w:asciiTheme="minorHAnsi" w:hAnsiTheme="minorHAnsi" w:cs="Arial"/>
          <w:color w:val="17365D" w:themeColor="text2" w:themeShade="BF"/>
          <w:sz w:val="56"/>
          <w:szCs w:val="56"/>
        </w:rPr>
        <w:t xml:space="preserve">and Funded </w:t>
      </w:r>
      <w:r w:rsidR="004B411C" w:rsidRPr="006345BF">
        <w:rPr>
          <w:rFonts w:asciiTheme="minorHAnsi" w:hAnsiTheme="minorHAnsi" w:cs="Arial"/>
          <w:color w:val="17365D" w:themeColor="text2" w:themeShade="BF"/>
          <w:sz w:val="56"/>
          <w:szCs w:val="56"/>
        </w:rPr>
        <w:t>Authors P</w:t>
      </w:r>
      <w:r w:rsidR="00E347B0">
        <w:rPr>
          <w:rFonts w:asciiTheme="minorHAnsi" w:hAnsiTheme="minorHAnsi" w:cs="Arial"/>
          <w:color w:val="17365D" w:themeColor="text2" w:themeShade="BF"/>
          <w:sz w:val="56"/>
          <w:szCs w:val="56"/>
        </w:rPr>
        <w:t xml:space="preserve">ublished During Fiscal Year </w:t>
      </w:r>
      <w:r w:rsidR="00C244E3">
        <w:rPr>
          <w:rFonts w:asciiTheme="minorHAnsi" w:hAnsiTheme="minorHAnsi" w:cs="Arial"/>
          <w:color w:val="17365D" w:themeColor="text2" w:themeShade="BF"/>
          <w:sz w:val="56"/>
          <w:szCs w:val="56"/>
        </w:rPr>
        <w:t>20</w:t>
      </w:r>
      <w:r w:rsidR="0033038F">
        <w:rPr>
          <w:rFonts w:asciiTheme="minorHAnsi" w:hAnsiTheme="minorHAnsi" w:cs="Arial"/>
          <w:color w:val="17365D" w:themeColor="text2" w:themeShade="BF"/>
          <w:sz w:val="56"/>
          <w:szCs w:val="56"/>
        </w:rPr>
        <w:t>2</w:t>
      </w:r>
      <w:r w:rsidR="005770DD">
        <w:rPr>
          <w:rFonts w:asciiTheme="minorHAnsi" w:hAnsiTheme="minorHAnsi" w:cs="Arial"/>
          <w:color w:val="17365D" w:themeColor="text2" w:themeShade="BF"/>
          <w:sz w:val="56"/>
          <w:szCs w:val="56"/>
        </w:rPr>
        <w:t>1</w:t>
      </w:r>
    </w:p>
    <w:p w:rsidR="004B411C" w:rsidRPr="006345BF" w:rsidRDefault="004B411C" w:rsidP="006345BF">
      <w:pPr>
        <w:spacing w:after="0"/>
        <w:jc w:val="right"/>
        <w:rPr>
          <w:rFonts w:asciiTheme="minorHAnsi" w:hAnsiTheme="minorHAnsi" w:cs="Arial"/>
          <w:b/>
          <w:color w:val="548DD4" w:themeColor="text2" w:themeTint="99"/>
          <w:sz w:val="26"/>
          <w:szCs w:val="26"/>
        </w:rPr>
      </w:pPr>
    </w:p>
    <w:p w:rsidR="001C247D" w:rsidRDefault="004B411C" w:rsidP="006345BF">
      <w:pPr>
        <w:spacing w:after="0"/>
        <w:jc w:val="right"/>
        <w:rPr>
          <w:rFonts w:asciiTheme="minorHAnsi" w:hAnsiTheme="minorHAnsi" w:cs="Arial"/>
          <w:color w:val="365F91" w:themeColor="accent1" w:themeShade="BF"/>
          <w:sz w:val="26"/>
          <w:szCs w:val="26"/>
        </w:rPr>
      </w:pPr>
      <w:r w:rsidRPr="006345BF">
        <w:rPr>
          <w:rFonts w:asciiTheme="minorHAnsi" w:hAnsiTheme="minorHAnsi" w:cs="Arial"/>
          <w:color w:val="365F91" w:themeColor="accent1" w:themeShade="BF"/>
          <w:sz w:val="26"/>
          <w:szCs w:val="26"/>
        </w:rPr>
        <w:t>Prepared by Sarah Davis</w:t>
      </w:r>
      <w:r w:rsidR="001C247D">
        <w:rPr>
          <w:rFonts w:asciiTheme="minorHAnsi" w:hAnsiTheme="minorHAnsi" w:cs="Arial"/>
          <w:color w:val="365F91" w:themeColor="accent1" w:themeShade="BF"/>
          <w:sz w:val="26"/>
          <w:szCs w:val="26"/>
        </w:rPr>
        <w:t>,</w:t>
      </w:r>
      <w:r w:rsidRPr="006345BF">
        <w:rPr>
          <w:rFonts w:asciiTheme="minorHAnsi" w:hAnsiTheme="minorHAnsi" w:cs="Arial"/>
          <w:color w:val="365F91" w:themeColor="accent1" w:themeShade="BF"/>
          <w:sz w:val="26"/>
          <w:szCs w:val="26"/>
        </w:rPr>
        <w:t xml:space="preserve"> </w:t>
      </w:r>
      <w:r w:rsidR="001C247D">
        <w:rPr>
          <w:rFonts w:asciiTheme="minorHAnsi" w:hAnsiTheme="minorHAnsi" w:cs="Arial"/>
          <w:color w:val="365F91" w:themeColor="accent1" w:themeShade="BF"/>
          <w:sz w:val="26"/>
          <w:szCs w:val="26"/>
        </w:rPr>
        <w:t xml:space="preserve"> </w:t>
      </w:r>
    </w:p>
    <w:p w:rsidR="004B411C" w:rsidRPr="006345BF" w:rsidRDefault="00E30A4A" w:rsidP="006345BF">
      <w:pPr>
        <w:spacing w:after="0"/>
        <w:jc w:val="right"/>
        <w:rPr>
          <w:rFonts w:asciiTheme="minorHAnsi" w:hAnsiTheme="minorHAnsi" w:cs="Arial"/>
          <w:color w:val="365F91" w:themeColor="accent1" w:themeShade="BF"/>
          <w:sz w:val="26"/>
          <w:szCs w:val="26"/>
        </w:rPr>
      </w:pPr>
      <w:r>
        <w:rPr>
          <w:rFonts w:asciiTheme="minorHAnsi" w:hAnsiTheme="minorHAnsi" w:cs="Arial"/>
          <w:color w:val="365F91" w:themeColor="accent1" w:themeShade="BF"/>
          <w:sz w:val="26"/>
          <w:szCs w:val="26"/>
        </w:rPr>
        <w:t>Jan Thomas</w:t>
      </w:r>
      <w:r w:rsidR="007026D7">
        <w:rPr>
          <w:rFonts w:asciiTheme="minorHAnsi" w:hAnsiTheme="minorHAnsi" w:cs="Arial"/>
          <w:color w:val="365F91" w:themeColor="accent1" w:themeShade="BF"/>
          <w:sz w:val="26"/>
          <w:szCs w:val="26"/>
        </w:rPr>
        <w:t xml:space="preserve"> and </w:t>
      </w:r>
      <w:r w:rsidR="00C244E3">
        <w:rPr>
          <w:rFonts w:asciiTheme="minorHAnsi" w:hAnsiTheme="minorHAnsi" w:cs="Arial"/>
          <w:color w:val="365F91" w:themeColor="accent1" w:themeShade="BF"/>
          <w:sz w:val="26"/>
          <w:szCs w:val="26"/>
        </w:rPr>
        <w:t>Hope Shinn</w:t>
      </w:r>
    </w:p>
    <w:p w:rsidR="004B411C" w:rsidRPr="006345BF" w:rsidRDefault="004B411C" w:rsidP="006345BF">
      <w:pPr>
        <w:spacing w:after="0"/>
        <w:jc w:val="right"/>
        <w:rPr>
          <w:rFonts w:asciiTheme="minorHAnsi" w:hAnsiTheme="minorHAnsi" w:cs="Arial"/>
          <w:color w:val="365F91" w:themeColor="accent1" w:themeShade="BF"/>
          <w:sz w:val="26"/>
          <w:szCs w:val="26"/>
        </w:rPr>
      </w:pPr>
      <w:r w:rsidRPr="006345BF">
        <w:rPr>
          <w:rFonts w:asciiTheme="minorHAnsi" w:hAnsiTheme="minorHAnsi" w:cs="Arial"/>
          <w:color w:val="365F91" w:themeColor="accent1" w:themeShade="BF"/>
          <w:sz w:val="26"/>
          <w:szCs w:val="26"/>
        </w:rPr>
        <w:t>NOAA Central</w:t>
      </w:r>
      <w:r w:rsidR="001C247D">
        <w:rPr>
          <w:rFonts w:asciiTheme="minorHAnsi" w:hAnsiTheme="minorHAnsi" w:cs="Arial"/>
          <w:color w:val="365F91" w:themeColor="accent1" w:themeShade="BF"/>
          <w:sz w:val="26"/>
          <w:szCs w:val="26"/>
        </w:rPr>
        <w:t xml:space="preserve"> &amp; Regional Libraries</w:t>
      </w:r>
    </w:p>
    <w:p w:rsidR="00BD0667" w:rsidRPr="00F118AF" w:rsidRDefault="00C50C18" w:rsidP="00F118AF">
      <w:pPr>
        <w:spacing w:after="4320"/>
        <w:jc w:val="right"/>
        <w:rPr>
          <w:rFonts w:asciiTheme="minorHAnsi" w:hAnsiTheme="minorHAnsi" w:cs="Arial"/>
          <w:color w:val="365F91" w:themeColor="accent1" w:themeShade="BF"/>
          <w:sz w:val="26"/>
          <w:szCs w:val="26"/>
        </w:rPr>
      </w:pPr>
      <w:r>
        <w:rPr>
          <w:rFonts w:asciiTheme="minorHAnsi" w:hAnsiTheme="minorHAnsi" w:cs="Arial"/>
          <w:color w:val="365F91" w:themeColor="accent1" w:themeShade="BF"/>
          <w:sz w:val="26"/>
          <w:szCs w:val="26"/>
        </w:rPr>
        <w:t>March</w:t>
      </w:r>
      <w:r w:rsidR="0033038F">
        <w:rPr>
          <w:rFonts w:asciiTheme="minorHAnsi" w:hAnsiTheme="minorHAnsi" w:cs="Arial"/>
          <w:color w:val="365F91" w:themeColor="accent1" w:themeShade="BF"/>
          <w:sz w:val="26"/>
          <w:szCs w:val="26"/>
        </w:rPr>
        <w:t xml:space="preserve"> 202</w:t>
      </w:r>
      <w:r w:rsidR="005770DD">
        <w:rPr>
          <w:rFonts w:asciiTheme="minorHAnsi" w:hAnsiTheme="minorHAnsi" w:cs="Arial"/>
          <w:color w:val="365F91" w:themeColor="accent1" w:themeShade="BF"/>
          <w:sz w:val="26"/>
          <w:szCs w:val="26"/>
        </w:rPr>
        <w:t>2</w:t>
      </w:r>
    </w:p>
    <w:p w:rsidR="004B411C" w:rsidRPr="006345BF" w:rsidRDefault="004B411C" w:rsidP="004B411C">
      <w:pPr>
        <w:rPr>
          <w:rFonts w:asciiTheme="minorHAnsi" w:hAnsiTheme="minorHAnsi"/>
          <w:b/>
          <w:kern w:val="16"/>
        </w:rPr>
      </w:pPr>
      <w:r w:rsidRPr="006345BF">
        <w:rPr>
          <w:rFonts w:asciiTheme="minorHAnsi" w:hAnsiTheme="minorHAnsi"/>
          <w:b/>
          <w:kern w:val="16"/>
        </w:rPr>
        <w:t xml:space="preserve">  </w:t>
      </w:r>
      <w:r w:rsidR="000E2C4F" w:rsidRPr="006345BF">
        <w:rPr>
          <w:rFonts w:asciiTheme="minorHAnsi" w:hAnsiTheme="minorHAnsi"/>
          <w:b/>
          <w:noProof/>
          <w:kern w:val="16"/>
        </w:rPr>
        <w:drawing>
          <wp:inline distT="0" distB="0" distL="0" distR="0">
            <wp:extent cx="1371600" cy="1371600"/>
            <wp:effectExtent l="0" t="0" r="0" b="0"/>
            <wp:docPr id="25" name="Picture 11" title="Department of Commerc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r w:rsidRPr="006345BF">
        <w:rPr>
          <w:rFonts w:asciiTheme="minorHAnsi" w:hAnsiTheme="minorHAnsi"/>
          <w:b/>
          <w:kern w:val="16"/>
        </w:rPr>
        <w:t xml:space="preserve">    </w:t>
      </w:r>
      <w:r w:rsidRPr="006345BF">
        <w:rPr>
          <w:rFonts w:asciiTheme="minorHAnsi" w:hAnsiTheme="minorHAnsi"/>
          <w:b/>
          <w:kern w:val="16"/>
        </w:rPr>
        <w:tab/>
      </w:r>
      <w:r w:rsidRPr="006345BF">
        <w:rPr>
          <w:rFonts w:asciiTheme="minorHAnsi" w:hAnsiTheme="minorHAnsi"/>
          <w:b/>
          <w:kern w:val="16"/>
        </w:rPr>
        <w:tab/>
      </w:r>
      <w:r w:rsidRPr="006345BF">
        <w:rPr>
          <w:rFonts w:asciiTheme="minorHAnsi" w:hAnsiTheme="minorHAnsi"/>
          <w:b/>
          <w:kern w:val="16"/>
        </w:rPr>
        <w:tab/>
      </w:r>
      <w:r w:rsidRPr="006345BF">
        <w:rPr>
          <w:rFonts w:asciiTheme="minorHAnsi" w:hAnsiTheme="minorHAnsi"/>
          <w:b/>
          <w:kern w:val="16"/>
        </w:rPr>
        <w:tab/>
      </w:r>
      <w:r w:rsidRPr="006345BF">
        <w:rPr>
          <w:rFonts w:asciiTheme="minorHAnsi" w:hAnsiTheme="minorHAnsi"/>
          <w:b/>
          <w:kern w:val="16"/>
        </w:rPr>
        <w:tab/>
      </w:r>
      <w:r w:rsidRPr="006345BF">
        <w:rPr>
          <w:rFonts w:asciiTheme="minorHAnsi" w:hAnsiTheme="minorHAnsi"/>
          <w:b/>
          <w:kern w:val="16"/>
        </w:rPr>
        <w:tab/>
        <w:t xml:space="preserve">             </w:t>
      </w:r>
      <w:r w:rsidR="000E2C4F" w:rsidRPr="006345BF">
        <w:rPr>
          <w:rFonts w:asciiTheme="minorHAnsi" w:hAnsiTheme="minorHAnsi"/>
          <w:b/>
          <w:noProof/>
          <w:kern w:val="16"/>
        </w:rPr>
        <w:drawing>
          <wp:inline distT="0" distB="0" distL="0" distR="0">
            <wp:extent cx="1371600" cy="1371600"/>
            <wp:effectExtent l="0" t="0" r="0" b="0"/>
            <wp:docPr id="24" name="Picture 14" title="National Oceanic and Atmospheric Administr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4B411C" w:rsidRPr="00216F6E" w:rsidRDefault="004B411C" w:rsidP="00BD0667">
      <w:pPr>
        <w:pStyle w:val="Heading1"/>
      </w:pPr>
      <w:bookmarkStart w:id="0" w:name="_Toc2930327"/>
      <w:r w:rsidRPr="00216F6E">
        <w:lastRenderedPageBreak/>
        <w:t>ABOUT THIS REPORT</w:t>
      </w:r>
      <w:bookmarkEnd w:id="0"/>
    </w:p>
    <w:p w:rsidR="004B411C" w:rsidRPr="006345BF" w:rsidRDefault="004B411C" w:rsidP="004B411C">
      <w:pPr>
        <w:spacing w:after="120"/>
        <w:rPr>
          <w:rFonts w:asciiTheme="minorHAnsi" w:hAnsiTheme="minorHAnsi" w:cs="Arial"/>
        </w:rPr>
      </w:pPr>
      <w:r w:rsidRPr="006345BF">
        <w:rPr>
          <w:rFonts w:asciiTheme="minorHAnsi" w:hAnsiTheme="minorHAnsi" w:cs="Arial"/>
        </w:rPr>
        <w:t xml:space="preserve">This report presents a summary-level bibliometric analysis of peer-reviewed </w:t>
      </w:r>
      <w:r w:rsidR="007E3154">
        <w:rPr>
          <w:rFonts w:asciiTheme="minorHAnsi" w:hAnsiTheme="minorHAnsi" w:cs="Arial"/>
        </w:rPr>
        <w:t>articles</w:t>
      </w:r>
      <w:r w:rsidRPr="006345BF">
        <w:rPr>
          <w:rFonts w:asciiTheme="minorHAnsi" w:hAnsiTheme="minorHAnsi" w:cs="Arial"/>
        </w:rPr>
        <w:t xml:space="preserve"> produced by NOAA-affiliated </w:t>
      </w:r>
      <w:r w:rsidR="00CE76EA">
        <w:rPr>
          <w:rFonts w:asciiTheme="minorHAnsi" w:hAnsiTheme="minorHAnsi" w:cs="Arial"/>
        </w:rPr>
        <w:t xml:space="preserve">and funded </w:t>
      </w:r>
      <w:r w:rsidRPr="006345BF">
        <w:rPr>
          <w:rFonts w:asciiTheme="minorHAnsi" w:hAnsiTheme="minorHAnsi" w:cs="Arial"/>
        </w:rPr>
        <w:t>au</w:t>
      </w:r>
      <w:r w:rsidR="00406A3F">
        <w:rPr>
          <w:rFonts w:asciiTheme="minorHAnsi" w:hAnsiTheme="minorHAnsi" w:cs="Arial"/>
        </w:rPr>
        <w:t>thors during the U.S. Gover</w:t>
      </w:r>
      <w:r w:rsidR="00EA4276">
        <w:rPr>
          <w:rFonts w:asciiTheme="minorHAnsi" w:hAnsiTheme="minorHAnsi" w:cs="Arial"/>
        </w:rPr>
        <w:t>n</w:t>
      </w:r>
      <w:r w:rsidR="00406A3F">
        <w:rPr>
          <w:rFonts w:asciiTheme="minorHAnsi" w:hAnsiTheme="minorHAnsi" w:cs="Arial"/>
        </w:rPr>
        <w:t>ment</w:t>
      </w:r>
      <w:r w:rsidRPr="006345BF">
        <w:rPr>
          <w:rFonts w:asciiTheme="minorHAnsi" w:hAnsiTheme="minorHAnsi" w:cs="Arial"/>
        </w:rPr>
        <w:t xml:space="preserve"> fiscal year </w:t>
      </w:r>
      <w:r w:rsidR="0033038F">
        <w:rPr>
          <w:rFonts w:asciiTheme="minorHAnsi" w:hAnsiTheme="minorHAnsi" w:cs="Arial"/>
        </w:rPr>
        <w:t>202</w:t>
      </w:r>
      <w:r w:rsidR="005770DD">
        <w:rPr>
          <w:rFonts w:asciiTheme="minorHAnsi" w:hAnsiTheme="minorHAnsi" w:cs="Arial"/>
        </w:rPr>
        <w:t>1</w:t>
      </w:r>
      <w:r w:rsidR="0033038F">
        <w:rPr>
          <w:rFonts w:asciiTheme="minorHAnsi" w:hAnsiTheme="minorHAnsi" w:cs="Arial"/>
        </w:rPr>
        <w:t xml:space="preserve"> (October 1, 20</w:t>
      </w:r>
      <w:r w:rsidR="005770DD">
        <w:rPr>
          <w:rFonts w:asciiTheme="minorHAnsi" w:hAnsiTheme="minorHAnsi" w:cs="Arial"/>
        </w:rPr>
        <w:t>20</w:t>
      </w:r>
      <w:r w:rsidR="0033038F">
        <w:rPr>
          <w:rFonts w:asciiTheme="minorHAnsi" w:hAnsiTheme="minorHAnsi" w:cs="Arial"/>
        </w:rPr>
        <w:t xml:space="preserve"> to September 30, 202</w:t>
      </w:r>
      <w:r w:rsidR="005770DD">
        <w:rPr>
          <w:rFonts w:asciiTheme="minorHAnsi" w:hAnsiTheme="minorHAnsi" w:cs="Arial"/>
        </w:rPr>
        <w:t>1</w:t>
      </w:r>
      <w:r w:rsidR="00710E6C">
        <w:rPr>
          <w:rFonts w:asciiTheme="minorHAnsi" w:hAnsiTheme="minorHAnsi" w:cs="Arial"/>
        </w:rPr>
        <w:t>)</w:t>
      </w:r>
      <w:r w:rsidRPr="006345BF">
        <w:rPr>
          <w:rFonts w:asciiTheme="minorHAnsi" w:hAnsiTheme="minorHAnsi" w:cs="Arial"/>
        </w:rPr>
        <w:t xml:space="preserve">. In this report, we attempt to provide a high-level overview of the number of </w:t>
      </w:r>
      <w:r w:rsidR="007E3154">
        <w:rPr>
          <w:rFonts w:asciiTheme="minorHAnsi" w:hAnsiTheme="minorHAnsi" w:cs="Arial"/>
        </w:rPr>
        <w:t>articles</w:t>
      </w:r>
      <w:r w:rsidRPr="006345BF">
        <w:rPr>
          <w:rFonts w:asciiTheme="minorHAnsi" w:hAnsiTheme="minorHAnsi" w:cs="Arial"/>
        </w:rPr>
        <w:t xml:space="preserve"> produced per quarter, line office, and research unit; the intramural and extramural collaborations that produced these </w:t>
      </w:r>
      <w:r w:rsidR="007E3154">
        <w:rPr>
          <w:rFonts w:asciiTheme="minorHAnsi" w:hAnsiTheme="minorHAnsi" w:cs="Arial"/>
        </w:rPr>
        <w:t>articles</w:t>
      </w:r>
      <w:r w:rsidRPr="006345BF">
        <w:rPr>
          <w:rFonts w:asciiTheme="minorHAnsi" w:hAnsiTheme="minorHAnsi" w:cs="Arial"/>
        </w:rPr>
        <w:t>; and trends in NOAA publication habits.</w:t>
      </w:r>
    </w:p>
    <w:p w:rsidR="004B411C" w:rsidRPr="006345BF" w:rsidRDefault="004B411C" w:rsidP="004B411C">
      <w:pPr>
        <w:rPr>
          <w:rFonts w:asciiTheme="minorHAnsi" w:hAnsiTheme="minorHAnsi" w:cs="Arial"/>
        </w:rPr>
      </w:pPr>
      <w:r w:rsidRPr="005F49D6">
        <w:rPr>
          <w:rFonts w:asciiTheme="minorHAnsi" w:hAnsiTheme="minorHAnsi" w:cs="Arial"/>
        </w:rPr>
        <w:t xml:space="preserve">The data presented in this report were derived from the Web of Science, Science Citation Index Expanded </w:t>
      </w:r>
      <w:r w:rsidR="00C50C18" w:rsidRPr="005F49D6">
        <w:rPr>
          <w:rFonts w:asciiTheme="minorHAnsi" w:hAnsiTheme="minorHAnsi" w:cs="Arial"/>
        </w:rPr>
        <w:t xml:space="preserve">and Social Science Index (WoS) </w:t>
      </w:r>
      <w:r w:rsidRPr="005F49D6">
        <w:rPr>
          <w:rFonts w:asciiTheme="minorHAnsi" w:hAnsiTheme="minorHAnsi" w:cs="Arial"/>
        </w:rPr>
        <w:t xml:space="preserve">database and are accurate as of </w:t>
      </w:r>
      <w:r w:rsidR="0033038F">
        <w:rPr>
          <w:rFonts w:asciiTheme="minorHAnsi" w:hAnsiTheme="minorHAnsi" w:cs="Arial"/>
        </w:rPr>
        <w:t>1</w:t>
      </w:r>
      <w:r w:rsidR="005770DD">
        <w:rPr>
          <w:rFonts w:asciiTheme="minorHAnsi" w:hAnsiTheme="minorHAnsi" w:cs="Arial"/>
        </w:rPr>
        <w:t>7</w:t>
      </w:r>
      <w:r w:rsidR="00E46DFC" w:rsidRPr="005F49D6">
        <w:rPr>
          <w:rFonts w:asciiTheme="minorHAnsi" w:hAnsiTheme="minorHAnsi" w:cs="Arial"/>
        </w:rPr>
        <w:t xml:space="preserve"> </w:t>
      </w:r>
      <w:r w:rsidR="005F49D6" w:rsidRPr="005F49D6">
        <w:rPr>
          <w:rFonts w:asciiTheme="minorHAnsi" w:hAnsiTheme="minorHAnsi" w:cs="Arial"/>
        </w:rPr>
        <w:t>February</w:t>
      </w:r>
      <w:r w:rsidR="00E46DFC" w:rsidRPr="005F49D6">
        <w:rPr>
          <w:rFonts w:asciiTheme="minorHAnsi" w:hAnsiTheme="minorHAnsi" w:cs="Arial"/>
        </w:rPr>
        <w:t>, 20</w:t>
      </w:r>
      <w:r w:rsidR="0033038F">
        <w:rPr>
          <w:rFonts w:asciiTheme="minorHAnsi" w:hAnsiTheme="minorHAnsi" w:cs="Arial"/>
        </w:rPr>
        <w:t>2</w:t>
      </w:r>
      <w:r w:rsidR="005770DD">
        <w:rPr>
          <w:rFonts w:asciiTheme="minorHAnsi" w:hAnsiTheme="minorHAnsi" w:cs="Arial"/>
        </w:rPr>
        <w:t>2</w:t>
      </w:r>
      <w:r w:rsidRPr="005F49D6">
        <w:rPr>
          <w:rFonts w:asciiTheme="minorHAnsi" w:hAnsiTheme="minorHAnsi" w:cs="Arial"/>
        </w:rPr>
        <w:t xml:space="preserve">. </w:t>
      </w:r>
      <w:r w:rsidR="007E3154" w:rsidRPr="005F49D6">
        <w:rPr>
          <w:rFonts w:asciiTheme="minorHAnsi" w:hAnsiTheme="minorHAnsi" w:cs="Arial"/>
        </w:rPr>
        <w:t>Articles</w:t>
      </w:r>
      <w:r w:rsidRPr="005F49D6">
        <w:rPr>
          <w:rFonts w:asciiTheme="minorHAnsi" w:hAnsiTheme="minorHAnsi" w:cs="Arial"/>
        </w:rPr>
        <w:t xml:space="preserve"> were identified by searching for NOAA, NOAA line offices, or NOAA research units in the authors’ stated affiliations</w:t>
      </w:r>
      <w:r w:rsidR="00CA2CD8">
        <w:rPr>
          <w:rFonts w:asciiTheme="minorHAnsi" w:hAnsiTheme="minorHAnsi" w:cs="Arial"/>
        </w:rPr>
        <w:t xml:space="preserve"> and funding text</w:t>
      </w:r>
      <w:r w:rsidRPr="005F49D6">
        <w:rPr>
          <w:rFonts w:asciiTheme="minorHAnsi" w:hAnsiTheme="minorHAnsi" w:cs="Arial"/>
        </w:rPr>
        <w:t>. Search results were manually reviewed and verified for accura</w:t>
      </w:r>
      <w:r w:rsidR="00406A3F" w:rsidRPr="005F49D6">
        <w:rPr>
          <w:rFonts w:asciiTheme="minorHAnsi" w:hAnsiTheme="minorHAnsi" w:cs="Arial"/>
        </w:rPr>
        <w:t>c</w:t>
      </w:r>
      <w:r w:rsidR="00CA2CD8">
        <w:rPr>
          <w:rFonts w:asciiTheme="minorHAnsi" w:hAnsiTheme="minorHAnsi" w:cs="Arial"/>
        </w:rPr>
        <w:t xml:space="preserve">y and, when applicable, </w:t>
      </w:r>
      <w:r w:rsidRPr="005F49D6">
        <w:rPr>
          <w:rFonts w:asciiTheme="minorHAnsi" w:hAnsiTheme="minorHAnsi" w:cs="Arial"/>
        </w:rPr>
        <w:t>assigned to line of</w:t>
      </w:r>
      <w:r w:rsidR="00406A3F" w:rsidRPr="005F49D6">
        <w:rPr>
          <w:rFonts w:asciiTheme="minorHAnsi" w:hAnsiTheme="minorHAnsi" w:cs="Arial"/>
        </w:rPr>
        <w:t>fice and research labs based on the NOAA author</w:t>
      </w:r>
      <w:r w:rsidRPr="005F49D6">
        <w:rPr>
          <w:rFonts w:asciiTheme="minorHAnsi" w:hAnsiTheme="minorHAnsi" w:cs="Arial"/>
        </w:rPr>
        <w:t xml:space="preserve">s, or authors’, listing in the NOAA staff directory. Our use of WoS to identify publications means that peer-reviewed publications by NOAA authors </w:t>
      </w:r>
      <w:r w:rsidR="00CA2CD8">
        <w:rPr>
          <w:rFonts w:asciiTheme="minorHAnsi" w:hAnsiTheme="minorHAnsi" w:cs="Arial"/>
        </w:rPr>
        <w:t xml:space="preserve">and NOAA-funded authors </w:t>
      </w:r>
      <w:r w:rsidRPr="005F49D6">
        <w:rPr>
          <w:rFonts w:asciiTheme="minorHAnsi" w:hAnsiTheme="minorHAnsi" w:cs="Arial"/>
        </w:rPr>
        <w:t>in publication venues not available in WoS – primarily book chapters, technical reports, data sets, and articles in some journals – are not included in this analysis.</w:t>
      </w:r>
      <w:r w:rsidRPr="006345BF">
        <w:rPr>
          <w:rFonts w:asciiTheme="minorHAnsi" w:hAnsiTheme="minorHAnsi" w:cs="Arial"/>
        </w:rPr>
        <w:t xml:space="preserve"> </w:t>
      </w:r>
    </w:p>
    <w:p w:rsidR="004B411C" w:rsidRPr="006345BF" w:rsidRDefault="004B411C" w:rsidP="004B411C">
      <w:pPr>
        <w:rPr>
          <w:rFonts w:asciiTheme="minorHAnsi" w:hAnsiTheme="minorHAnsi" w:cs="Arial"/>
        </w:rPr>
      </w:pPr>
      <w:r w:rsidRPr="006345BF">
        <w:rPr>
          <w:rFonts w:asciiTheme="minorHAnsi" w:hAnsiTheme="minorHAnsi" w:cs="Arial"/>
        </w:rPr>
        <w:t>The finding presented here are those of the authors and do no</w:t>
      </w:r>
      <w:r w:rsidR="00E46DFC">
        <w:rPr>
          <w:rFonts w:asciiTheme="minorHAnsi" w:hAnsiTheme="minorHAnsi" w:cs="Arial"/>
        </w:rPr>
        <w:t>t</w:t>
      </w:r>
      <w:r w:rsidRPr="006345BF">
        <w:rPr>
          <w:rFonts w:asciiTheme="minorHAnsi" w:hAnsiTheme="minorHAnsi" w:cs="Arial"/>
        </w:rPr>
        <w:t xml:space="preserve"> necessarily reflect any opinion or position of NOAA, the Department of Commerce, or the U.S. Government.</w:t>
      </w:r>
    </w:p>
    <w:p w:rsidR="004B411C" w:rsidRPr="006345BF" w:rsidRDefault="004B411C" w:rsidP="004B411C">
      <w:pPr>
        <w:rPr>
          <w:rFonts w:asciiTheme="minorHAnsi" w:hAnsiTheme="minorHAnsi"/>
          <w:sz w:val="20"/>
          <w:szCs w:val="20"/>
        </w:rPr>
      </w:pPr>
      <w:r w:rsidRPr="006345BF">
        <w:rPr>
          <w:rFonts w:asciiTheme="minorHAnsi" w:hAnsiTheme="minorHAnsi" w:cs="Arial"/>
        </w:rPr>
        <w:t xml:space="preserve">Questions about this report should be directed to </w:t>
      </w:r>
      <w:hyperlink r:id="rId9" w:history="1">
        <w:r w:rsidRPr="006345BF">
          <w:rPr>
            <w:rStyle w:val="Hyperlink"/>
            <w:rFonts w:asciiTheme="minorHAnsi" w:hAnsiTheme="minorHAnsi" w:cs="Arial"/>
          </w:rPr>
          <w:t>Sarah.Davis@noaa.gov</w:t>
        </w:r>
      </w:hyperlink>
      <w:r w:rsidRPr="006345BF">
        <w:rPr>
          <w:rFonts w:asciiTheme="minorHAnsi" w:hAnsiTheme="minorHAnsi" w:cs="Arial"/>
        </w:rPr>
        <w:t xml:space="preserve">. </w:t>
      </w:r>
    </w:p>
    <w:p w:rsidR="001C247D" w:rsidRDefault="001C247D" w:rsidP="004B411C">
      <w:pPr>
        <w:rPr>
          <w:rFonts w:asciiTheme="minorHAnsi" w:hAnsiTheme="minorHAnsi"/>
          <w:sz w:val="20"/>
          <w:szCs w:val="20"/>
        </w:rPr>
      </w:pPr>
    </w:p>
    <w:p w:rsidR="004B411C" w:rsidRPr="006345BF" w:rsidRDefault="00FF03EB" w:rsidP="004B411C">
      <w:pPr>
        <w:rPr>
          <w:rFonts w:asciiTheme="minorHAnsi" w:hAnsiTheme="minorHAnsi"/>
          <w:sz w:val="20"/>
          <w:szCs w:val="20"/>
        </w:rPr>
      </w:pPr>
      <w:r>
        <w:rPr>
          <w:rFonts w:asciiTheme="minorHAnsi" w:hAnsiTheme="minorHAnsi" w:cs="Arial"/>
          <w:noProof/>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259080</wp:posOffset>
                </wp:positionV>
                <wp:extent cx="5934075" cy="0"/>
                <wp:effectExtent l="9525" t="11430" r="9525" b="17145"/>
                <wp:wrapNone/>
                <wp:docPr id="11" name="AutoShape 3" title="blue verticl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AB20B" id="AutoShape 3" o:spid="_x0000_s1026" type="#_x0000_t32" alt="Title: blue verticle line" style="position:absolute;margin-left:3pt;margin-top:20.4pt;width:467.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" strokecolor="#548dd4" strokeweight="1.5pt"/>
            </w:pict>
          </mc:Fallback>
        </mc:AlternateContent>
      </w:r>
    </w:p>
    <w:p w:rsidR="004B411C" w:rsidRDefault="004B411C" w:rsidP="004B411C">
      <w:pPr>
        <w:spacing w:after="120"/>
        <w:rPr>
          <w:rFonts w:asciiTheme="minorHAnsi" w:hAnsiTheme="minorHAnsi" w:cs="Arial"/>
        </w:rPr>
      </w:pPr>
    </w:p>
    <w:p w:rsidR="00BD0667" w:rsidRDefault="00BD0667" w:rsidP="004B411C">
      <w:pPr>
        <w:spacing w:after="120"/>
        <w:rPr>
          <w:rFonts w:asciiTheme="minorHAnsi" w:hAnsiTheme="minorHAnsi" w:cs="Arial"/>
        </w:rPr>
      </w:pPr>
    </w:p>
    <w:p w:rsidR="00BD0667" w:rsidRPr="006345BF" w:rsidRDefault="00BD0667" w:rsidP="004B411C">
      <w:pPr>
        <w:spacing w:after="120"/>
        <w:rPr>
          <w:rFonts w:asciiTheme="minorHAnsi" w:hAnsiTheme="minorHAnsi" w:cs="Arial"/>
        </w:rPr>
      </w:pPr>
    </w:p>
    <w:sdt>
      <w:sdtPr>
        <w:rPr>
          <w:rFonts w:ascii="Calibri" w:eastAsia="Calibri" w:hAnsi="Calibri" w:cs="Times New Roman"/>
          <w:b w:val="0"/>
          <w:bCs w:val="0"/>
          <w:color w:val="auto"/>
          <w:sz w:val="22"/>
          <w:szCs w:val="22"/>
          <w:lang w:eastAsia="en-US"/>
        </w:rPr>
        <w:id w:val="-465979321"/>
        <w:docPartObj>
          <w:docPartGallery w:val="Table of Contents"/>
          <w:docPartUnique/>
        </w:docPartObj>
      </w:sdtPr>
      <w:sdtEndPr>
        <w:rPr>
          <w:noProof/>
        </w:rPr>
      </w:sdtEndPr>
      <w:sdtContent>
        <w:p w:rsidR="00BD0667" w:rsidRPr="00BD0667" w:rsidRDefault="00BD0667" w:rsidP="00BD0667">
          <w:pPr>
            <w:pStyle w:val="TOCHeading"/>
            <w:spacing w:before="120" w:after="120"/>
            <w:rPr>
              <w:rFonts w:asciiTheme="minorHAnsi" w:hAnsiTheme="minorHAnsi"/>
            </w:rPr>
          </w:pPr>
          <w:r w:rsidRPr="00BD0667">
            <w:rPr>
              <w:rFonts w:asciiTheme="minorHAnsi" w:hAnsiTheme="minorHAnsi"/>
            </w:rPr>
            <w:t>C</w:t>
          </w:r>
          <w:r>
            <w:rPr>
              <w:rFonts w:asciiTheme="minorHAnsi" w:hAnsiTheme="minorHAnsi"/>
            </w:rPr>
            <w:t>ONTENTS</w:t>
          </w:r>
        </w:p>
        <w:p w:rsidR="002B6332" w:rsidRDefault="00BD0667">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930327" w:history="1">
            <w:r w:rsidR="002B6332" w:rsidRPr="00724858">
              <w:rPr>
                <w:rStyle w:val="Hyperlink"/>
                <w:noProof/>
              </w:rPr>
              <w:t>ABOUT THIS REPORT</w:t>
            </w:r>
            <w:r w:rsidR="002B6332">
              <w:rPr>
                <w:noProof/>
                <w:webHidden/>
              </w:rPr>
              <w:tab/>
            </w:r>
            <w:r w:rsidR="002B6332">
              <w:rPr>
                <w:noProof/>
                <w:webHidden/>
              </w:rPr>
              <w:fldChar w:fldCharType="begin"/>
            </w:r>
            <w:r w:rsidR="002B6332">
              <w:rPr>
                <w:noProof/>
                <w:webHidden/>
              </w:rPr>
              <w:instrText xml:space="preserve"> PAGEREF _Toc2930327 \h </w:instrText>
            </w:r>
            <w:r w:rsidR="002B6332">
              <w:rPr>
                <w:noProof/>
                <w:webHidden/>
              </w:rPr>
            </w:r>
            <w:r w:rsidR="002B6332">
              <w:rPr>
                <w:noProof/>
                <w:webHidden/>
              </w:rPr>
              <w:fldChar w:fldCharType="separate"/>
            </w:r>
            <w:r w:rsidR="00D246CD">
              <w:rPr>
                <w:noProof/>
                <w:webHidden/>
              </w:rPr>
              <w:t>2</w:t>
            </w:r>
            <w:r w:rsidR="002B6332">
              <w:rPr>
                <w:noProof/>
                <w:webHidden/>
              </w:rPr>
              <w:fldChar w:fldCharType="end"/>
            </w:r>
          </w:hyperlink>
        </w:p>
        <w:p w:rsidR="002B6332" w:rsidRDefault="002B6CBB">
          <w:pPr>
            <w:pStyle w:val="TOC1"/>
            <w:tabs>
              <w:tab w:val="right" w:leader="dot" w:pos="9350"/>
            </w:tabs>
            <w:rPr>
              <w:rFonts w:asciiTheme="minorHAnsi" w:eastAsiaTheme="minorEastAsia" w:hAnsiTheme="minorHAnsi" w:cstheme="minorBidi"/>
              <w:noProof/>
            </w:rPr>
          </w:pPr>
          <w:hyperlink w:anchor="_Toc2930328" w:history="1">
            <w:r w:rsidR="002B6332" w:rsidRPr="00724858">
              <w:rPr>
                <w:rStyle w:val="Hyperlink"/>
                <w:noProof/>
              </w:rPr>
              <w:t>NOAA ARTICLE PRODUCTION</w:t>
            </w:r>
            <w:r w:rsidR="002B6332">
              <w:rPr>
                <w:noProof/>
                <w:webHidden/>
              </w:rPr>
              <w:tab/>
            </w:r>
            <w:r w:rsidR="002B6332">
              <w:rPr>
                <w:noProof/>
                <w:webHidden/>
              </w:rPr>
              <w:fldChar w:fldCharType="begin"/>
            </w:r>
            <w:r w:rsidR="002B6332">
              <w:rPr>
                <w:noProof/>
                <w:webHidden/>
              </w:rPr>
              <w:instrText xml:space="preserve"> PAGEREF _Toc2930328 \h </w:instrText>
            </w:r>
            <w:r w:rsidR="002B6332">
              <w:rPr>
                <w:noProof/>
                <w:webHidden/>
              </w:rPr>
            </w:r>
            <w:r w:rsidR="002B6332">
              <w:rPr>
                <w:noProof/>
                <w:webHidden/>
              </w:rPr>
              <w:fldChar w:fldCharType="separate"/>
            </w:r>
            <w:r w:rsidR="00D246CD">
              <w:rPr>
                <w:noProof/>
                <w:webHidden/>
              </w:rPr>
              <w:t>3</w:t>
            </w:r>
            <w:r w:rsidR="002B6332">
              <w:rPr>
                <w:noProof/>
                <w:webHidden/>
              </w:rPr>
              <w:fldChar w:fldCharType="end"/>
            </w:r>
          </w:hyperlink>
        </w:p>
        <w:p w:rsidR="002B6332" w:rsidRDefault="002B6CBB">
          <w:pPr>
            <w:pStyle w:val="TOC1"/>
            <w:tabs>
              <w:tab w:val="right" w:leader="dot" w:pos="9350"/>
            </w:tabs>
            <w:rPr>
              <w:rFonts w:asciiTheme="minorHAnsi" w:eastAsiaTheme="minorEastAsia" w:hAnsiTheme="minorHAnsi" w:cstheme="minorBidi"/>
              <w:noProof/>
            </w:rPr>
          </w:pPr>
          <w:hyperlink w:anchor="_Toc2930329" w:history="1">
            <w:r w:rsidR="002B6332" w:rsidRPr="00724858">
              <w:rPr>
                <w:rStyle w:val="Hyperlink"/>
                <w:noProof/>
              </w:rPr>
              <w:t>ARTICLE PRODUCTION AND COLLABORATION BY NOAA AUTHORS</w:t>
            </w:r>
            <w:r w:rsidR="002B6332">
              <w:rPr>
                <w:noProof/>
                <w:webHidden/>
              </w:rPr>
              <w:tab/>
            </w:r>
            <w:r w:rsidR="002B6332">
              <w:rPr>
                <w:noProof/>
                <w:webHidden/>
              </w:rPr>
              <w:fldChar w:fldCharType="begin"/>
            </w:r>
            <w:r w:rsidR="002B6332">
              <w:rPr>
                <w:noProof/>
                <w:webHidden/>
              </w:rPr>
              <w:instrText xml:space="preserve"> PAGEREF _Toc2930329 \h </w:instrText>
            </w:r>
            <w:r w:rsidR="002B6332">
              <w:rPr>
                <w:noProof/>
                <w:webHidden/>
              </w:rPr>
            </w:r>
            <w:r w:rsidR="002B6332">
              <w:rPr>
                <w:noProof/>
                <w:webHidden/>
              </w:rPr>
              <w:fldChar w:fldCharType="separate"/>
            </w:r>
            <w:r w:rsidR="00D246CD">
              <w:rPr>
                <w:noProof/>
                <w:webHidden/>
              </w:rPr>
              <w:t>7</w:t>
            </w:r>
            <w:r w:rsidR="002B6332">
              <w:rPr>
                <w:noProof/>
                <w:webHidden/>
              </w:rPr>
              <w:fldChar w:fldCharType="end"/>
            </w:r>
          </w:hyperlink>
        </w:p>
        <w:p w:rsidR="002B6332" w:rsidRDefault="002B6CBB">
          <w:pPr>
            <w:pStyle w:val="TOC2"/>
            <w:tabs>
              <w:tab w:val="right" w:leader="dot" w:pos="9350"/>
            </w:tabs>
            <w:rPr>
              <w:noProof/>
            </w:rPr>
          </w:pPr>
          <w:hyperlink w:anchor="_Toc2930330" w:history="1">
            <w:r w:rsidR="002B6332" w:rsidRPr="00724858">
              <w:rPr>
                <w:rStyle w:val="Hyperlink"/>
                <w:noProof/>
              </w:rPr>
              <w:t>Collaboration</w:t>
            </w:r>
            <w:r w:rsidR="002B6332">
              <w:rPr>
                <w:noProof/>
                <w:webHidden/>
              </w:rPr>
              <w:tab/>
            </w:r>
            <w:r w:rsidR="002B6332">
              <w:rPr>
                <w:noProof/>
                <w:webHidden/>
              </w:rPr>
              <w:fldChar w:fldCharType="begin"/>
            </w:r>
            <w:r w:rsidR="002B6332">
              <w:rPr>
                <w:noProof/>
                <w:webHidden/>
              </w:rPr>
              <w:instrText xml:space="preserve"> PAGEREF _Toc2930330 \h </w:instrText>
            </w:r>
            <w:r w:rsidR="002B6332">
              <w:rPr>
                <w:noProof/>
                <w:webHidden/>
              </w:rPr>
            </w:r>
            <w:r w:rsidR="002B6332">
              <w:rPr>
                <w:noProof/>
                <w:webHidden/>
              </w:rPr>
              <w:fldChar w:fldCharType="separate"/>
            </w:r>
            <w:r w:rsidR="00D246CD">
              <w:rPr>
                <w:noProof/>
                <w:webHidden/>
              </w:rPr>
              <w:t>9</w:t>
            </w:r>
            <w:r w:rsidR="002B6332">
              <w:rPr>
                <w:noProof/>
                <w:webHidden/>
              </w:rPr>
              <w:fldChar w:fldCharType="end"/>
            </w:r>
          </w:hyperlink>
        </w:p>
        <w:p w:rsidR="002B6332" w:rsidRDefault="002B6CBB">
          <w:pPr>
            <w:pStyle w:val="TOC2"/>
            <w:tabs>
              <w:tab w:val="right" w:leader="dot" w:pos="9350"/>
            </w:tabs>
            <w:rPr>
              <w:noProof/>
            </w:rPr>
          </w:pPr>
          <w:hyperlink w:anchor="_Toc2930331" w:history="1">
            <w:r w:rsidR="002B6332" w:rsidRPr="00724858">
              <w:rPr>
                <w:rStyle w:val="Hyperlink"/>
                <w:noProof/>
              </w:rPr>
              <w:t>Publication Trends</w:t>
            </w:r>
            <w:r w:rsidR="002B6332">
              <w:rPr>
                <w:noProof/>
                <w:webHidden/>
              </w:rPr>
              <w:tab/>
            </w:r>
            <w:r w:rsidR="002B6332">
              <w:rPr>
                <w:noProof/>
                <w:webHidden/>
              </w:rPr>
              <w:fldChar w:fldCharType="begin"/>
            </w:r>
            <w:r w:rsidR="002B6332">
              <w:rPr>
                <w:noProof/>
                <w:webHidden/>
              </w:rPr>
              <w:instrText xml:space="preserve"> PAGEREF _Toc2930331 \h </w:instrText>
            </w:r>
            <w:r w:rsidR="002B6332">
              <w:rPr>
                <w:noProof/>
                <w:webHidden/>
              </w:rPr>
            </w:r>
            <w:r w:rsidR="002B6332">
              <w:rPr>
                <w:noProof/>
                <w:webHidden/>
              </w:rPr>
              <w:fldChar w:fldCharType="separate"/>
            </w:r>
            <w:r w:rsidR="00D246CD">
              <w:rPr>
                <w:noProof/>
                <w:webHidden/>
              </w:rPr>
              <w:t>13</w:t>
            </w:r>
            <w:r w:rsidR="002B6332">
              <w:rPr>
                <w:noProof/>
                <w:webHidden/>
              </w:rPr>
              <w:fldChar w:fldCharType="end"/>
            </w:r>
          </w:hyperlink>
        </w:p>
        <w:p w:rsidR="00BD0667" w:rsidRDefault="00BD0667">
          <w:r>
            <w:rPr>
              <w:b/>
              <w:bCs/>
              <w:noProof/>
            </w:rPr>
            <w:fldChar w:fldCharType="end"/>
          </w:r>
        </w:p>
      </w:sdtContent>
    </w:sdt>
    <w:p w:rsidR="007E3154" w:rsidRDefault="007E3154" w:rsidP="004B411C">
      <w:pPr>
        <w:spacing w:after="120"/>
        <w:rPr>
          <w:rFonts w:asciiTheme="minorHAnsi" w:hAnsiTheme="minorHAnsi" w:cs="Arial"/>
          <w:color w:val="365F91" w:themeColor="accent1" w:themeShade="BF"/>
        </w:rPr>
      </w:pPr>
    </w:p>
    <w:p w:rsidR="007E3154" w:rsidRPr="006345BF" w:rsidRDefault="007E3154" w:rsidP="004B411C">
      <w:pPr>
        <w:spacing w:after="120"/>
        <w:rPr>
          <w:rFonts w:asciiTheme="minorHAnsi" w:hAnsiTheme="minorHAnsi" w:cs="Arial"/>
          <w:color w:val="365F91" w:themeColor="accent1" w:themeShade="BF"/>
        </w:rPr>
      </w:pPr>
    </w:p>
    <w:p w:rsidR="004B411C" w:rsidRPr="006345BF" w:rsidRDefault="004B411C" w:rsidP="004B411C">
      <w:pPr>
        <w:spacing w:after="120"/>
        <w:rPr>
          <w:rFonts w:asciiTheme="minorHAnsi" w:hAnsiTheme="minorHAnsi" w:cs="Arial"/>
          <w:color w:val="365F91" w:themeColor="accent1" w:themeShade="BF"/>
        </w:rPr>
      </w:pPr>
    </w:p>
    <w:p w:rsidR="004B411C" w:rsidRDefault="003E4CA0" w:rsidP="00BD0667">
      <w:pPr>
        <w:pStyle w:val="Heading1"/>
      </w:pPr>
      <w:bookmarkStart w:id="1" w:name="_Toc2930328"/>
      <w:r>
        <w:lastRenderedPageBreak/>
        <w:t xml:space="preserve">NOAA </w:t>
      </w:r>
      <w:r w:rsidR="004B411C" w:rsidRPr="00216F6E">
        <w:t>ARTICLE PRODUCTION</w:t>
      </w:r>
      <w:bookmarkEnd w:id="1"/>
    </w:p>
    <w:p w:rsidR="003E4CA0" w:rsidRPr="000C32D7" w:rsidRDefault="003E4CA0" w:rsidP="00073BF2">
      <w:pPr>
        <w:spacing w:after="360" w:line="288" w:lineRule="auto"/>
        <w:rPr>
          <w:kern w:val="16"/>
          <w:sz w:val="24"/>
          <w:szCs w:val="24"/>
        </w:rPr>
      </w:pPr>
      <w:r w:rsidRPr="00073BF2">
        <w:rPr>
          <w:kern w:val="16"/>
          <w:sz w:val="24"/>
          <w:szCs w:val="24"/>
        </w:rPr>
        <w:t>The following figures analyze the number of publications published</w:t>
      </w:r>
      <w:r w:rsidR="000C32D7" w:rsidRPr="00073BF2">
        <w:rPr>
          <w:kern w:val="16"/>
          <w:sz w:val="24"/>
          <w:szCs w:val="24"/>
        </w:rPr>
        <w:t xml:space="preserve"> by</w:t>
      </w:r>
      <w:r w:rsidRPr="00073BF2">
        <w:rPr>
          <w:kern w:val="16"/>
          <w:sz w:val="24"/>
          <w:szCs w:val="24"/>
        </w:rPr>
        <w:t xml:space="preserve"> NOAA employees, contractors</w:t>
      </w:r>
      <w:r w:rsidR="000C32D7" w:rsidRPr="00073BF2">
        <w:rPr>
          <w:kern w:val="16"/>
          <w:sz w:val="24"/>
          <w:szCs w:val="24"/>
        </w:rPr>
        <w:t>,</w:t>
      </w:r>
      <w:r w:rsidRPr="00073BF2">
        <w:rPr>
          <w:kern w:val="16"/>
          <w:sz w:val="24"/>
          <w:szCs w:val="24"/>
        </w:rPr>
        <w:t xml:space="preserve"> and grant</w:t>
      </w:r>
      <w:r w:rsidR="002B6332" w:rsidRPr="00073BF2">
        <w:rPr>
          <w:kern w:val="16"/>
          <w:sz w:val="24"/>
          <w:szCs w:val="24"/>
        </w:rPr>
        <w:t xml:space="preserve"> funded authors</w:t>
      </w:r>
      <w:r w:rsidRPr="00073BF2">
        <w:rPr>
          <w:kern w:val="16"/>
          <w:sz w:val="24"/>
          <w:szCs w:val="24"/>
        </w:rPr>
        <w:t xml:space="preserve"> in FY20</w:t>
      </w:r>
      <w:r w:rsidR="002B6CBB">
        <w:rPr>
          <w:kern w:val="16"/>
          <w:sz w:val="24"/>
          <w:szCs w:val="24"/>
        </w:rPr>
        <w:t>21</w:t>
      </w:r>
      <w:r w:rsidRPr="00073BF2">
        <w:rPr>
          <w:kern w:val="16"/>
          <w:sz w:val="24"/>
          <w:szCs w:val="24"/>
        </w:rPr>
        <w:t>.</w:t>
      </w:r>
      <w:r w:rsidR="000C32D7" w:rsidRPr="00073BF2">
        <w:rPr>
          <w:kern w:val="16"/>
          <w:sz w:val="24"/>
          <w:szCs w:val="24"/>
        </w:rPr>
        <w:t xml:space="preserve"> In this section NOAA-authored and NOAA-funded articles are collectively referred to as NOAA articles.</w:t>
      </w:r>
      <w:r w:rsidRPr="00073BF2">
        <w:rPr>
          <w:kern w:val="16"/>
          <w:sz w:val="24"/>
          <w:szCs w:val="24"/>
        </w:rPr>
        <w:t xml:space="preserve"> </w:t>
      </w:r>
      <w:r w:rsidRPr="00073BF2">
        <w:rPr>
          <w:i/>
          <w:kern w:val="16"/>
          <w:sz w:val="24"/>
          <w:szCs w:val="24"/>
        </w:rPr>
        <w:t>Figures 2</w:t>
      </w:r>
      <w:r w:rsidRPr="00073BF2">
        <w:rPr>
          <w:kern w:val="16"/>
          <w:sz w:val="24"/>
          <w:szCs w:val="24"/>
        </w:rPr>
        <w:t xml:space="preserve"> and </w:t>
      </w:r>
      <w:r w:rsidRPr="00073BF2">
        <w:rPr>
          <w:i/>
          <w:kern w:val="16"/>
          <w:sz w:val="24"/>
          <w:szCs w:val="24"/>
        </w:rPr>
        <w:t>3</w:t>
      </w:r>
      <w:r w:rsidRPr="00073BF2">
        <w:rPr>
          <w:kern w:val="16"/>
          <w:sz w:val="24"/>
          <w:szCs w:val="24"/>
        </w:rPr>
        <w:t xml:space="preserve"> </w:t>
      </w:r>
      <w:r w:rsidR="005F49D6" w:rsidRPr="00073BF2">
        <w:rPr>
          <w:kern w:val="16"/>
          <w:sz w:val="24"/>
          <w:szCs w:val="24"/>
        </w:rPr>
        <w:t>show</w:t>
      </w:r>
      <w:r w:rsidRPr="00073BF2">
        <w:rPr>
          <w:kern w:val="16"/>
          <w:sz w:val="24"/>
          <w:szCs w:val="24"/>
        </w:rPr>
        <w:t xml:space="preserve"> the top results </w:t>
      </w:r>
      <w:r w:rsidR="002B6332" w:rsidRPr="00073BF2">
        <w:rPr>
          <w:kern w:val="16"/>
          <w:sz w:val="24"/>
          <w:szCs w:val="24"/>
        </w:rPr>
        <w:t xml:space="preserve">in journal title and subject category for all NOAA articles and also show a breakdown of articles </w:t>
      </w:r>
      <w:r w:rsidR="005F49D6" w:rsidRPr="00073BF2">
        <w:rPr>
          <w:kern w:val="16"/>
          <w:sz w:val="24"/>
          <w:szCs w:val="24"/>
        </w:rPr>
        <w:t>by NOAA authors and NOAA-funded authors to illustrate differences in intramural and extramural research publications.</w:t>
      </w:r>
      <w:r w:rsidR="000C32D7" w:rsidRPr="00073BF2">
        <w:rPr>
          <w:i/>
          <w:kern w:val="16"/>
          <w:sz w:val="24"/>
          <w:szCs w:val="24"/>
        </w:rPr>
        <w:t xml:space="preserve"> Figures 3</w:t>
      </w:r>
      <w:r w:rsidR="000C32D7" w:rsidRPr="00073BF2">
        <w:rPr>
          <w:kern w:val="16"/>
          <w:sz w:val="24"/>
          <w:szCs w:val="24"/>
        </w:rPr>
        <w:t xml:space="preserve"> and </w:t>
      </w:r>
      <w:r w:rsidR="000C32D7" w:rsidRPr="00073BF2">
        <w:rPr>
          <w:i/>
          <w:kern w:val="16"/>
          <w:sz w:val="24"/>
          <w:szCs w:val="24"/>
        </w:rPr>
        <w:t xml:space="preserve">4 </w:t>
      </w:r>
      <w:r w:rsidR="000C32D7" w:rsidRPr="00073BF2">
        <w:rPr>
          <w:kern w:val="16"/>
          <w:sz w:val="24"/>
          <w:szCs w:val="24"/>
        </w:rPr>
        <w:t>address the breadth of NOAA’s research through quantitative analysis (</w:t>
      </w:r>
      <w:r w:rsidR="000C32D7" w:rsidRPr="00073BF2">
        <w:rPr>
          <w:i/>
          <w:kern w:val="16"/>
          <w:sz w:val="24"/>
          <w:szCs w:val="24"/>
        </w:rPr>
        <w:t>figure 3</w:t>
      </w:r>
      <w:r w:rsidR="000C32D7" w:rsidRPr="00073BF2">
        <w:rPr>
          <w:kern w:val="16"/>
          <w:sz w:val="24"/>
          <w:szCs w:val="24"/>
        </w:rPr>
        <w:t xml:space="preserve">) which illustrates the variety of subject areas </w:t>
      </w:r>
      <w:r w:rsidR="00073BF2">
        <w:rPr>
          <w:kern w:val="16"/>
          <w:sz w:val="24"/>
          <w:szCs w:val="24"/>
        </w:rPr>
        <w:t xml:space="preserve">covered </w:t>
      </w:r>
      <w:r w:rsidR="000C32D7" w:rsidRPr="00073BF2">
        <w:rPr>
          <w:kern w:val="16"/>
          <w:sz w:val="24"/>
          <w:szCs w:val="24"/>
        </w:rPr>
        <w:t>and network analysis (</w:t>
      </w:r>
      <w:r w:rsidR="000C32D7" w:rsidRPr="00073BF2">
        <w:rPr>
          <w:i/>
          <w:kern w:val="16"/>
          <w:sz w:val="24"/>
          <w:szCs w:val="24"/>
        </w:rPr>
        <w:t>figure 4</w:t>
      </w:r>
      <w:r w:rsidR="000C32D7" w:rsidRPr="00073BF2">
        <w:rPr>
          <w:kern w:val="16"/>
          <w:sz w:val="24"/>
          <w:szCs w:val="24"/>
        </w:rPr>
        <w:t>) which illustrates the ways in</w:t>
      </w:r>
      <w:r w:rsidR="00073BF2">
        <w:rPr>
          <w:kern w:val="16"/>
          <w:sz w:val="24"/>
          <w:szCs w:val="24"/>
        </w:rPr>
        <w:t xml:space="preserve"> which these research areas are perhaps connected.</w:t>
      </w:r>
    </w:p>
    <w:p w:rsidR="004B411C" w:rsidRPr="006345BF" w:rsidRDefault="000E2C4F" w:rsidP="004B411C">
      <w:pPr>
        <w:spacing w:after="240"/>
        <w:jc w:val="center"/>
        <w:rPr>
          <w:rFonts w:asciiTheme="minorHAnsi" w:hAnsiTheme="minorHAnsi" w:cs="Arial"/>
          <w:b/>
          <w:sz w:val="20"/>
          <w:szCs w:val="20"/>
        </w:rPr>
      </w:pPr>
      <w:r w:rsidRPr="006345BF">
        <w:rPr>
          <w:rFonts w:asciiTheme="minorHAnsi" w:hAnsiTheme="minorHAnsi" w:cs="Arial"/>
          <w:b/>
          <w:noProof/>
          <w:color w:val="365F91" w:themeColor="accent1" w:themeShade="BF"/>
          <w:sz w:val="24"/>
          <w:szCs w:val="24"/>
        </w:rPr>
        <w:drawing>
          <wp:inline distT="0" distB="0" distL="0" distR="0">
            <wp:extent cx="4826000" cy="3209026"/>
            <wp:effectExtent l="0" t="0" r="12700" b="10795"/>
            <wp:docPr id="23" name="Chart 1" descr="Non-cumulative number of peer-reviewed articles by NOAA-affiliated authors per quarter. There were 2,096 articles published during FY2017." title="FIGUR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411C" w:rsidRDefault="004B411C" w:rsidP="003E4CA0">
      <w:pPr>
        <w:spacing w:after="240"/>
        <w:rPr>
          <w:rFonts w:asciiTheme="minorHAnsi" w:hAnsiTheme="minorHAnsi" w:cs="Arial"/>
        </w:rPr>
      </w:pPr>
      <w:r w:rsidRPr="00EA4276">
        <w:rPr>
          <w:rFonts w:asciiTheme="minorHAnsi" w:hAnsiTheme="minorHAnsi" w:cs="Arial"/>
          <w:b/>
        </w:rPr>
        <w:t xml:space="preserve">FIGURE 1: </w:t>
      </w:r>
      <w:r w:rsidRPr="00EA4276">
        <w:rPr>
          <w:rFonts w:asciiTheme="minorHAnsi" w:hAnsiTheme="minorHAnsi" w:cs="Arial"/>
        </w:rPr>
        <w:t xml:space="preserve">Non-cumulative number of </w:t>
      </w:r>
      <w:r w:rsidR="000D1EF0">
        <w:rPr>
          <w:rFonts w:asciiTheme="minorHAnsi" w:hAnsiTheme="minorHAnsi" w:cs="Arial"/>
        </w:rPr>
        <w:t>peer-reviewed</w:t>
      </w:r>
      <w:r w:rsidR="00BD0667">
        <w:rPr>
          <w:rFonts w:asciiTheme="minorHAnsi" w:hAnsiTheme="minorHAnsi" w:cs="Arial"/>
        </w:rPr>
        <w:t xml:space="preserve"> </w:t>
      </w:r>
      <w:r w:rsidR="000D1EF0">
        <w:rPr>
          <w:rFonts w:asciiTheme="minorHAnsi" w:hAnsiTheme="minorHAnsi" w:cs="Arial"/>
        </w:rPr>
        <w:t>articles</w:t>
      </w:r>
      <w:r w:rsidRPr="00EA4276">
        <w:rPr>
          <w:rFonts w:asciiTheme="minorHAnsi" w:hAnsiTheme="minorHAnsi" w:cs="Arial"/>
        </w:rPr>
        <w:t xml:space="preserve"> by NOAA authors per quarter. There were</w:t>
      </w:r>
      <w:r w:rsidR="00B82D32" w:rsidRPr="00EA4276">
        <w:rPr>
          <w:rFonts w:asciiTheme="minorHAnsi" w:hAnsiTheme="minorHAnsi" w:cs="Arial"/>
        </w:rPr>
        <w:t xml:space="preserve"> </w:t>
      </w:r>
      <w:r w:rsidR="0033038F">
        <w:rPr>
          <w:rFonts w:asciiTheme="minorHAnsi" w:hAnsiTheme="minorHAnsi" w:cs="Arial"/>
        </w:rPr>
        <w:t>2,</w:t>
      </w:r>
      <w:r w:rsidR="002B6CBB">
        <w:rPr>
          <w:rFonts w:asciiTheme="minorHAnsi" w:hAnsiTheme="minorHAnsi" w:cs="Arial"/>
        </w:rPr>
        <w:t>252</w:t>
      </w:r>
      <w:r w:rsidRPr="00EA4276">
        <w:rPr>
          <w:rFonts w:asciiTheme="minorHAnsi" w:hAnsiTheme="minorHAnsi" w:cs="Arial"/>
        </w:rPr>
        <w:t xml:space="preserve"> </w:t>
      </w:r>
      <w:r w:rsidR="003D5DCC">
        <w:rPr>
          <w:rFonts w:asciiTheme="minorHAnsi" w:hAnsiTheme="minorHAnsi" w:cs="Arial"/>
        </w:rPr>
        <w:t>NOAA-authored and 1,</w:t>
      </w:r>
      <w:r w:rsidR="002B6CBB">
        <w:rPr>
          <w:rFonts w:asciiTheme="minorHAnsi" w:hAnsiTheme="minorHAnsi" w:cs="Arial"/>
        </w:rPr>
        <w:t>908</w:t>
      </w:r>
      <w:r w:rsidR="003D5DCC">
        <w:rPr>
          <w:rFonts w:asciiTheme="minorHAnsi" w:hAnsiTheme="minorHAnsi" w:cs="Arial"/>
        </w:rPr>
        <w:t xml:space="preserve"> NOAA-funded </w:t>
      </w:r>
      <w:r w:rsidR="00EA4276" w:rsidRPr="00EA4276">
        <w:rPr>
          <w:rFonts w:asciiTheme="minorHAnsi" w:hAnsiTheme="minorHAnsi" w:cs="Arial"/>
        </w:rPr>
        <w:t>articles published during FY20</w:t>
      </w:r>
      <w:r w:rsidR="002B6CBB">
        <w:rPr>
          <w:rFonts w:asciiTheme="minorHAnsi" w:hAnsiTheme="minorHAnsi" w:cs="Arial"/>
        </w:rPr>
        <w:t>21</w:t>
      </w:r>
      <w:r w:rsidR="003D5DCC">
        <w:rPr>
          <w:rFonts w:asciiTheme="minorHAnsi" w:hAnsiTheme="minorHAnsi" w:cs="Arial"/>
        </w:rPr>
        <w:t xml:space="preserve"> for a total of </w:t>
      </w:r>
      <w:r w:rsidR="002B6CBB">
        <w:rPr>
          <w:rFonts w:asciiTheme="minorHAnsi" w:hAnsiTheme="minorHAnsi" w:cs="Arial"/>
        </w:rPr>
        <w:t>4,160</w:t>
      </w:r>
      <w:r w:rsidR="003D5DCC">
        <w:rPr>
          <w:rFonts w:asciiTheme="minorHAnsi" w:hAnsiTheme="minorHAnsi" w:cs="Arial"/>
        </w:rPr>
        <w:t xml:space="preserve"> articles</w:t>
      </w:r>
      <w:r w:rsidRPr="00EA4276">
        <w:rPr>
          <w:rFonts w:asciiTheme="minorHAnsi" w:hAnsiTheme="minorHAnsi" w:cs="Arial"/>
        </w:rPr>
        <w:t>.</w:t>
      </w:r>
    </w:p>
    <w:p w:rsidR="006654A2" w:rsidRDefault="006654A2" w:rsidP="006654A2">
      <w:pPr>
        <w:spacing w:after="360"/>
        <w:rPr>
          <w:rFonts w:asciiTheme="minorHAnsi" w:hAnsiTheme="minorHAnsi" w:cs="Arial"/>
          <w:b/>
        </w:rPr>
      </w:pPr>
      <w:r>
        <w:rPr>
          <w:rFonts w:asciiTheme="minorHAnsi" w:hAnsiTheme="minorHAnsi" w:cs="Arial"/>
          <w:b/>
          <w:noProof/>
        </w:rPr>
        <w:drawing>
          <wp:inline distT="0" distB="0" distL="0" distR="0" wp14:anchorId="30CB5133" wp14:editId="02F6D3D8">
            <wp:extent cx="5486400" cy="3398808"/>
            <wp:effectExtent l="0" t="0" r="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54A2" w:rsidRPr="00A35622" w:rsidRDefault="006654A2" w:rsidP="006654A2">
      <w:pPr>
        <w:spacing w:after="360"/>
        <w:rPr>
          <w:rFonts w:asciiTheme="minorHAnsi" w:hAnsiTheme="minorHAnsi" w:cs="Arial"/>
        </w:rPr>
      </w:pPr>
      <w:r w:rsidRPr="00A35622">
        <w:rPr>
          <w:rFonts w:asciiTheme="minorHAnsi" w:hAnsiTheme="minorHAnsi" w:cs="Arial"/>
          <w:b/>
        </w:rPr>
        <w:t xml:space="preserve">FIGURE </w:t>
      </w:r>
      <w:r w:rsidR="003E4CA0">
        <w:rPr>
          <w:rFonts w:asciiTheme="minorHAnsi" w:hAnsiTheme="minorHAnsi" w:cs="Arial"/>
          <w:b/>
        </w:rPr>
        <w:t>2</w:t>
      </w:r>
      <w:r w:rsidRPr="00A35622">
        <w:rPr>
          <w:rFonts w:asciiTheme="minorHAnsi" w:hAnsiTheme="minorHAnsi" w:cs="Arial"/>
          <w:b/>
        </w:rPr>
        <w:t>:</w:t>
      </w:r>
      <w:r w:rsidRPr="00A35622">
        <w:rPr>
          <w:rFonts w:asciiTheme="minorHAnsi" w:hAnsiTheme="minorHAnsi" w:cs="Arial"/>
        </w:rPr>
        <w:t xml:space="preserve"> Number of peer-reviewed NOAA-authored </w:t>
      </w:r>
      <w:r>
        <w:rPr>
          <w:rFonts w:asciiTheme="minorHAnsi" w:hAnsiTheme="minorHAnsi" w:cs="Arial"/>
        </w:rPr>
        <w:t xml:space="preserve">and -funded </w:t>
      </w:r>
      <w:r w:rsidRPr="00A35622">
        <w:rPr>
          <w:rFonts w:asciiTheme="minorHAnsi" w:hAnsiTheme="minorHAnsi" w:cs="Arial"/>
        </w:rPr>
        <w:t>articles</w:t>
      </w:r>
      <w:r>
        <w:rPr>
          <w:rFonts w:asciiTheme="minorHAnsi" w:hAnsiTheme="minorHAnsi" w:cs="Arial"/>
        </w:rPr>
        <w:t xml:space="preserve"> per journal. NOAA </w:t>
      </w:r>
      <w:r w:rsidRPr="00A35622">
        <w:rPr>
          <w:rFonts w:asciiTheme="minorHAnsi" w:hAnsiTheme="minorHAnsi" w:cs="Arial"/>
        </w:rPr>
        <w:t xml:space="preserve">articles appeared in </w:t>
      </w:r>
      <w:r w:rsidR="007606E0">
        <w:rPr>
          <w:rFonts w:asciiTheme="minorHAnsi" w:hAnsiTheme="minorHAnsi" w:cs="Arial"/>
        </w:rPr>
        <w:t>637</w:t>
      </w:r>
      <w:r w:rsidRPr="00A35622">
        <w:rPr>
          <w:rFonts w:asciiTheme="minorHAnsi" w:hAnsiTheme="minorHAnsi" w:cs="Arial"/>
        </w:rPr>
        <w:t xml:space="preserve"> distinct journals in FY20</w:t>
      </w:r>
      <w:r w:rsidR="007606E0">
        <w:rPr>
          <w:rFonts w:asciiTheme="minorHAnsi" w:hAnsiTheme="minorHAnsi" w:cs="Arial"/>
        </w:rPr>
        <w:t>2</w:t>
      </w:r>
      <w:r w:rsidR="002B6CBB">
        <w:rPr>
          <w:rFonts w:asciiTheme="minorHAnsi" w:hAnsiTheme="minorHAnsi" w:cs="Arial"/>
        </w:rPr>
        <w:t>1</w:t>
      </w:r>
      <w:r w:rsidRPr="00A35622">
        <w:rPr>
          <w:rFonts w:asciiTheme="minorHAnsi" w:hAnsiTheme="minorHAnsi" w:cs="Arial"/>
        </w:rPr>
        <w:t xml:space="preserve"> however, only the top 10 journals by publication count are shown.</w:t>
      </w:r>
    </w:p>
    <w:p w:rsidR="006654A2" w:rsidRPr="006345BF" w:rsidRDefault="006654A2" w:rsidP="006654A2">
      <w:pPr>
        <w:spacing w:after="120"/>
        <w:jc w:val="center"/>
        <w:rPr>
          <w:rFonts w:asciiTheme="minorHAnsi" w:hAnsiTheme="minorHAnsi" w:cs="Arial"/>
          <w:color w:val="365F91" w:themeColor="accent1" w:themeShade="BF"/>
        </w:rPr>
      </w:pPr>
      <w:r>
        <w:rPr>
          <w:rFonts w:asciiTheme="minorHAnsi" w:hAnsiTheme="minorHAnsi" w:cs="Arial"/>
          <w:noProof/>
          <w:color w:val="365F91" w:themeColor="accent1" w:themeShade="BF"/>
        </w:rPr>
        <w:drawing>
          <wp:inline distT="0" distB="0" distL="0" distR="0" wp14:anchorId="6C42B3B6" wp14:editId="55F541DB">
            <wp:extent cx="5701665" cy="5507665"/>
            <wp:effectExtent l="0" t="0" r="13335" b="1714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54A2" w:rsidRDefault="006654A2" w:rsidP="006654A2">
      <w:pPr>
        <w:spacing w:before="240" w:after="0"/>
      </w:pPr>
      <w:r w:rsidRPr="000D1EF0">
        <w:rPr>
          <w:b/>
        </w:rPr>
        <w:t xml:space="preserve">FIGURE </w:t>
      </w:r>
      <w:r w:rsidR="003E4CA0">
        <w:rPr>
          <w:b/>
        </w:rPr>
        <w:t>3</w:t>
      </w:r>
      <w:r w:rsidRPr="000D1EF0">
        <w:rPr>
          <w:b/>
        </w:rPr>
        <w:t>:</w:t>
      </w:r>
      <w:r w:rsidRPr="000D1EF0">
        <w:t xml:space="preserve"> Number of NOAA-authored </w:t>
      </w:r>
      <w:r>
        <w:t>peer-reviewed articles</w:t>
      </w:r>
      <w:r w:rsidRPr="000D1EF0">
        <w:t xml:space="preserve"> per subject category. Subject categories are defined, and assigned to articles, by Web of Science based on the journal in which each article was published. These categories overlap, so a single article can be assigned to multiple subject categories. Only the top 15 subject categories by publication counts are shown.</w:t>
      </w:r>
      <w:r w:rsidRPr="00160493">
        <w:t xml:space="preserve"> </w:t>
      </w:r>
    </w:p>
    <w:p w:rsidR="006654A2" w:rsidRDefault="002357E5" w:rsidP="006654A2">
      <w:pPr>
        <w:spacing w:before="240" w:after="0"/>
      </w:pPr>
      <w:r>
        <w:rPr>
          <w:noProof/>
        </w:rPr>
        <w:drawing>
          <wp:inline distT="0" distB="0" distL="0" distR="0" wp14:anchorId="57B545FA" wp14:editId="4E8A8440">
            <wp:extent cx="5943600" cy="5923280"/>
            <wp:effectExtent l="19050" t="19050" r="1905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923280"/>
                    </a:xfrm>
                    <a:prstGeom prst="rect">
                      <a:avLst/>
                    </a:prstGeom>
                    <a:ln>
                      <a:solidFill>
                        <a:schemeClr val="accent1"/>
                      </a:solidFill>
                    </a:ln>
                  </pic:spPr>
                </pic:pic>
              </a:graphicData>
            </a:graphic>
          </wp:inline>
        </w:drawing>
      </w:r>
    </w:p>
    <w:p w:rsidR="006654A2" w:rsidRPr="00160493" w:rsidRDefault="006654A2" w:rsidP="006654A2">
      <w:pPr>
        <w:spacing w:before="120" w:after="0"/>
      </w:pPr>
      <w:r>
        <w:rPr>
          <w:b/>
        </w:rPr>
        <w:t xml:space="preserve">FIGURE </w:t>
      </w:r>
      <w:r w:rsidR="000C32D7">
        <w:rPr>
          <w:b/>
        </w:rPr>
        <w:t>4</w:t>
      </w:r>
      <w:r w:rsidRPr="00AA08D9">
        <w:rPr>
          <w:b/>
        </w:rPr>
        <w:t>:</w:t>
      </w:r>
      <w:r w:rsidRPr="00AA08D9">
        <w:t xml:space="preserve"> Word co-occurrence network of the </w:t>
      </w:r>
      <w:r w:rsidR="0030575B">
        <w:t>285</w:t>
      </w:r>
      <w:r w:rsidRPr="00AA08D9">
        <w:t xml:space="preserve"> most frequently co-occurring words in the titles of NOAA </w:t>
      </w:r>
      <w:r>
        <w:t>articles</w:t>
      </w:r>
      <w:r w:rsidRPr="00AA08D9">
        <w:t xml:space="preserve"> </w:t>
      </w:r>
      <w:r w:rsidR="002357E5">
        <w:t>published in</w:t>
      </w:r>
      <w:r w:rsidR="002B6CBB">
        <w:t xml:space="preserve"> FY2021</w:t>
      </w:r>
      <w:r w:rsidRPr="00AA08D9">
        <w:t xml:space="preserve">. Words are sized based on the number of titles in which the word appears and colored to illustrate groups of words that tend to be used together in publication titles. Words are connected if they both appear in the same article title; larger and darker connections indicate higher numbers of title co-occurrences (co-occurrence values range from </w:t>
      </w:r>
      <w:r w:rsidR="002357E5">
        <w:t>8</w:t>
      </w:r>
      <w:r w:rsidRPr="00AA08D9">
        <w:t xml:space="preserve"> to </w:t>
      </w:r>
      <w:r w:rsidR="002357E5">
        <w:t>73</w:t>
      </w:r>
      <w:r w:rsidRPr="00AA08D9">
        <w:t xml:space="preserve">). Words and word co-occurrences that appear in fewer than </w:t>
      </w:r>
      <w:r w:rsidR="002357E5">
        <w:t>8</w:t>
      </w:r>
      <w:r w:rsidRPr="00AA08D9">
        <w:t xml:space="preserve"> article titles were removed to increase visual clarity and to focus on the most important words and word pairs.</w:t>
      </w:r>
      <w:r w:rsidRPr="00160493">
        <w:t xml:space="preserve"> </w:t>
      </w:r>
    </w:p>
    <w:p w:rsidR="003E4CA0" w:rsidRDefault="003E4CA0">
      <w:pPr>
        <w:spacing w:after="0" w:line="240" w:lineRule="auto"/>
        <w:rPr>
          <w:rFonts w:asciiTheme="minorHAnsi" w:hAnsiTheme="minorHAnsi" w:cs="Arial"/>
        </w:rPr>
      </w:pPr>
      <w:r>
        <w:rPr>
          <w:rFonts w:asciiTheme="minorHAnsi" w:hAnsiTheme="minorHAnsi" w:cs="Arial"/>
        </w:rPr>
        <w:br w:type="page"/>
      </w:r>
    </w:p>
    <w:p w:rsidR="006654A2" w:rsidRDefault="002B6332" w:rsidP="003E4CA0">
      <w:pPr>
        <w:pStyle w:val="Heading1"/>
      </w:pPr>
      <w:bookmarkStart w:id="2" w:name="_Toc2930329"/>
      <w:r>
        <w:t>ARTICLE PRODUCTION AND COLLABORATION BY NOAA AUTHORS</w:t>
      </w:r>
      <w:bookmarkEnd w:id="2"/>
    </w:p>
    <w:p w:rsidR="002B6332" w:rsidRPr="000C32D7" w:rsidRDefault="000C32D7" w:rsidP="00073BF2">
      <w:pPr>
        <w:spacing w:after="360"/>
      </w:pPr>
      <w:r w:rsidRPr="000C32D7">
        <w:t xml:space="preserve">The following figures analyze </w:t>
      </w:r>
      <w:r>
        <w:t>only those publications authored by NOAA employees and contractors as a greater level of detail is available for these articles.</w:t>
      </w:r>
      <w:r w:rsidR="00073BF2">
        <w:t xml:space="preserve"> These figures illustrate article production by line office and research unit (</w:t>
      </w:r>
      <w:r w:rsidR="00073BF2" w:rsidRPr="00073BF2">
        <w:rPr>
          <w:i/>
        </w:rPr>
        <w:t>figures 5, 6a, and 6b</w:t>
      </w:r>
      <w:r w:rsidR="00073BF2">
        <w:t>), collaboration between NOAA authors and outside researchers (</w:t>
      </w:r>
      <w:r w:rsidR="00073BF2" w:rsidRPr="00073BF2">
        <w:rPr>
          <w:i/>
        </w:rPr>
        <w:t>table 1, figures 7-10</w:t>
      </w:r>
      <w:r w:rsidR="00073BF2">
        <w:t>), and trends in article production from FY2012 to present (</w:t>
      </w:r>
      <w:r w:rsidR="00073BF2" w:rsidRPr="00073BF2">
        <w:rPr>
          <w:i/>
        </w:rPr>
        <w:t>figures 11 and 12</w:t>
      </w:r>
      <w:r w:rsidR="00073BF2">
        <w:t>).</w:t>
      </w:r>
    </w:p>
    <w:p w:rsidR="002910E1" w:rsidRDefault="000E2C4F" w:rsidP="002910E1">
      <w:pPr>
        <w:spacing w:after="240"/>
        <w:jc w:val="center"/>
        <w:rPr>
          <w:rFonts w:asciiTheme="minorHAnsi" w:hAnsiTheme="minorHAnsi" w:cs="Arial"/>
          <w:b/>
        </w:rPr>
      </w:pPr>
      <w:r w:rsidRPr="006345BF">
        <w:rPr>
          <w:rFonts w:asciiTheme="minorHAnsi" w:hAnsiTheme="minorHAnsi" w:cs="Arial"/>
          <w:noProof/>
        </w:rPr>
        <w:drawing>
          <wp:inline distT="0" distB="0" distL="0" distR="0">
            <wp:extent cx="5514975" cy="2838450"/>
            <wp:effectExtent l="0" t="0" r="9525" b="19050"/>
            <wp:docPr id="22" name="Chart 2" descr="Non-cumulative number of peer-reviewed articles by NOAA-affiliated authors per quarter per line office. " title="Fig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411C" w:rsidRDefault="000C32D7" w:rsidP="002910E1">
      <w:pPr>
        <w:spacing w:after="240"/>
        <w:rPr>
          <w:rFonts w:asciiTheme="minorHAnsi" w:hAnsiTheme="minorHAnsi" w:cs="Arial"/>
        </w:rPr>
      </w:pPr>
      <w:r>
        <w:rPr>
          <w:rFonts w:asciiTheme="minorHAnsi" w:hAnsiTheme="minorHAnsi" w:cs="Arial"/>
          <w:b/>
        </w:rPr>
        <w:t>FIGURE 5</w:t>
      </w:r>
      <w:r w:rsidR="004B411C" w:rsidRPr="00E563F4">
        <w:rPr>
          <w:rFonts w:asciiTheme="minorHAnsi" w:hAnsiTheme="minorHAnsi" w:cs="Arial"/>
          <w:b/>
        </w:rPr>
        <w:t xml:space="preserve">: </w:t>
      </w:r>
      <w:r w:rsidR="004B411C" w:rsidRPr="00E563F4">
        <w:rPr>
          <w:rFonts w:asciiTheme="minorHAnsi" w:hAnsiTheme="minorHAnsi" w:cs="Arial"/>
        </w:rPr>
        <w:t xml:space="preserve">Non-cumulative number of </w:t>
      </w:r>
      <w:r w:rsidR="000D1EF0">
        <w:rPr>
          <w:rFonts w:asciiTheme="minorHAnsi" w:hAnsiTheme="minorHAnsi" w:cs="Arial"/>
        </w:rPr>
        <w:t>peer-reviewed articles</w:t>
      </w:r>
      <w:r w:rsidR="004B411C" w:rsidRPr="00E563F4">
        <w:rPr>
          <w:rFonts w:asciiTheme="minorHAnsi" w:hAnsiTheme="minorHAnsi" w:cs="Arial"/>
        </w:rPr>
        <w:t xml:space="preserve"> by NOAA-affiliated authors per quarter per line office. A single </w:t>
      </w:r>
      <w:r w:rsidR="000D1EF0">
        <w:rPr>
          <w:rFonts w:asciiTheme="minorHAnsi" w:hAnsiTheme="minorHAnsi" w:cs="Arial"/>
        </w:rPr>
        <w:t>article</w:t>
      </w:r>
      <w:r w:rsidR="004B411C" w:rsidRPr="00E563F4">
        <w:rPr>
          <w:rFonts w:asciiTheme="minorHAnsi" w:hAnsiTheme="minorHAnsi" w:cs="Arial"/>
        </w:rPr>
        <w:t xml:space="preserve"> with authors from more than one line office is counted as one </w:t>
      </w:r>
      <w:r w:rsidR="000D1EF0">
        <w:rPr>
          <w:rFonts w:asciiTheme="minorHAnsi" w:hAnsiTheme="minorHAnsi" w:cs="Arial"/>
        </w:rPr>
        <w:t>article</w:t>
      </w:r>
      <w:r w:rsidR="004B411C" w:rsidRPr="00E563F4">
        <w:rPr>
          <w:rFonts w:asciiTheme="minorHAnsi" w:hAnsiTheme="minorHAnsi" w:cs="Arial"/>
        </w:rPr>
        <w:t xml:space="preserve"> for each line office.</w:t>
      </w:r>
    </w:p>
    <w:p w:rsidR="009B1380" w:rsidRPr="002910E1" w:rsidRDefault="000E2C4F" w:rsidP="009B1380">
      <w:pPr>
        <w:spacing w:after="240"/>
        <w:rPr>
          <w:rFonts w:asciiTheme="minorHAnsi" w:hAnsiTheme="minorHAnsi" w:cs="Arial"/>
        </w:rPr>
      </w:pPr>
      <w:r w:rsidRPr="006345BF">
        <w:rPr>
          <w:rFonts w:asciiTheme="minorHAnsi" w:hAnsiTheme="minorHAnsi" w:cs="Arial"/>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4038600" cy="3371850"/>
            <wp:effectExtent l="0" t="0" r="0" b="0"/>
            <wp:wrapSquare wrapText="bothSides"/>
            <wp:docPr id="21" name="Chart 3" descr="Number of peer-reviewed articles per Line Office as a percentage of all NOAA-authored publications. " title="Figure 3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B1380" w:rsidRPr="009B1380">
        <w:rPr>
          <w:rFonts w:asciiTheme="minorHAnsi" w:hAnsiTheme="minorHAnsi" w:cs="Arial"/>
          <w:b/>
        </w:rPr>
        <w:t>F</w:t>
      </w:r>
      <w:r w:rsidR="00CD3DE2">
        <w:rPr>
          <w:rFonts w:asciiTheme="minorHAnsi" w:hAnsiTheme="minorHAnsi" w:cs="Arial"/>
          <w:b/>
        </w:rPr>
        <w:t>IGURE</w:t>
      </w:r>
      <w:r w:rsidR="009B1380" w:rsidRPr="009B1380">
        <w:rPr>
          <w:rFonts w:asciiTheme="minorHAnsi" w:hAnsiTheme="minorHAnsi" w:cs="Arial"/>
          <w:b/>
        </w:rPr>
        <w:t xml:space="preserve"> </w:t>
      </w:r>
      <w:r w:rsidR="00073BF2">
        <w:rPr>
          <w:rFonts w:asciiTheme="minorHAnsi" w:hAnsiTheme="minorHAnsi" w:cs="Arial"/>
          <w:b/>
        </w:rPr>
        <w:t>6</w:t>
      </w:r>
      <w:r w:rsidR="000C32D7">
        <w:rPr>
          <w:rFonts w:asciiTheme="minorHAnsi" w:hAnsiTheme="minorHAnsi" w:cs="Arial"/>
          <w:b/>
        </w:rPr>
        <w:t>a</w:t>
      </w:r>
      <w:r w:rsidR="009B1380" w:rsidRPr="009B1380">
        <w:rPr>
          <w:rFonts w:asciiTheme="minorHAnsi" w:hAnsiTheme="minorHAnsi" w:cs="Arial"/>
          <w:b/>
        </w:rPr>
        <w:t>:</w:t>
      </w:r>
      <w:r w:rsidR="009B1380">
        <w:rPr>
          <w:rFonts w:asciiTheme="minorHAnsi" w:hAnsiTheme="minorHAnsi" w:cs="Arial"/>
        </w:rPr>
        <w:t xml:space="preserve"> </w:t>
      </w:r>
      <w:r w:rsidR="009B1380" w:rsidRPr="00E563F4">
        <w:rPr>
          <w:rFonts w:asciiTheme="minorHAnsi" w:hAnsiTheme="minorHAnsi" w:cs="Arial"/>
        </w:rPr>
        <w:t xml:space="preserve">Number of </w:t>
      </w:r>
      <w:r w:rsidR="000D1EF0">
        <w:rPr>
          <w:rFonts w:asciiTheme="minorHAnsi" w:hAnsiTheme="minorHAnsi" w:cs="Arial"/>
        </w:rPr>
        <w:t>peer-reviewed articles</w:t>
      </w:r>
      <w:r w:rsidR="009B1380" w:rsidRPr="00E563F4">
        <w:rPr>
          <w:rFonts w:asciiTheme="minorHAnsi" w:hAnsiTheme="minorHAnsi" w:cs="Arial"/>
        </w:rPr>
        <w:t xml:space="preserve"> per Line Office as a percentage of all NOAA-authored publications. A single </w:t>
      </w:r>
      <w:r w:rsidR="000D1EF0">
        <w:rPr>
          <w:rFonts w:asciiTheme="minorHAnsi" w:hAnsiTheme="minorHAnsi" w:cs="Arial"/>
        </w:rPr>
        <w:t>article</w:t>
      </w:r>
      <w:r w:rsidR="009B1380" w:rsidRPr="00E563F4">
        <w:rPr>
          <w:rFonts w:asciiTheme="minorHAnsi" w:hAnsiTheme="minorHAnsi" w:cs="Arial"/>
        </w:rPr>
        <w:t xml:space="preserve"> with authors from more than one line office is counted as one </w:t>
      </w:r>
      <w:r w:rsidR="000D1EF0">
        <w:rPr>
          <w:rFonts w:asciiTheme="minorHAnsi" w:hAnsiTheme="minorHAnsi" w:cs="Arial"/>
        </w:rPr>
        <w:t>article</w:t>
      </w:r>
      <w:r w:rsidR="009B1380" w:rsidRPr="00E563F4">
        <w:rPr>
          <w:rFonts w:asciiTheme="minorHAnsi" w:hAnsiTheme="minorHAnsi" w:cs="Arial"/>
        </w:rPr>
        <w:t xml:space="preserve"> for each line office.</w:t>
      </w:r>
    </w:p>
    <w:p w:rsidR="00605DB8" w:rsidRDefault="00605DB8" w:rsidP="009B1380">
      <w:pPr>
        <w:spacing w:after="120"/>
        <w:rPr>
          <w:rFonts w:asciiTheme="minorHAnsi" w:hAnsiTheme="minorHAnsi" w:cs="Arial"/>
        </w:rPr>
      </w:pPr>
    </w:p>
    <w:p w:rsidR="009B1380" w:rsidRDefault="009B1380" w:rsidP="009B1380">
      <w:pPr>
        <w:spacing w:after="120"/>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668480" behindDoc="0" locked="0" layoutInCell="1" allowOverlap="1" wp14:anchorId="3EA3AEF4" wp14:editId="287BA653">
                <wp:simplePos x="0" y="0"/>
                <wp:positionH relativeFrom="column">
                  <wp:posOffset>2962275</wp:posOffset>
                </wp:positionH>
                <wp:positionV relativeFrom="paragraph">
                  <wp:posOffset>717550</wp:posOffset>
                </wp:positionV>
                <wp:extent cx="171450" cy="85725"/>
                <wp:effectExtent l="0" t="0" r="19050" b="2857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857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F4654" id="AutoShape 10" o:spid="_x0000_s1026" type="#_x0000_t32" style="position:absolute;margin-left:233.25pt;margin-top:56.5pt;width:13.5pt;height:6.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" strokeweight="1pt"/>
            </w:pict>
          </mc:Fallback>
        </mc:AlternateContent>
      </w:r>
      <w:r>
        <w:rPr>
          <w:rFonts w:asciiTheme="minorHAnsi" w:hAnsiTheme="minorHAnsi" w:cs="Arial"/>
        </w:rPr>
        <w:t xml:space="preserve"> </w:t>
      </w:r>
    </w:p>
    <w:p w:rsidR="009B1380" w:rsidRDefault="009B1380" w:rsidP="009B1380">
      <w:pPr>
        <w:spacing w:after="120"/>
        <w:rPr>
          <w:rFonts w:asciiTheme="minorHAnsi" w:hAnsiTheme="minorHAnsi" w:cs="Arial"/>
        </w:rPr>
      </w:pPr>
    </w:p>
    <w:p w:rsidR="009B1380" w:rsidRDefault="009B1380" w:rsidP="009B1380">
      <w:pPr>
        <w:spacing w:after="120"/>
        <w:rPr>
          <w:rFonts w:asciiTheme="minorHAnsi" w:hAnsiTheme="minorHAnsi" w:cs="Arial"/>
        </w:rPr>
      </w:pPr>
    </w:p>
    <w:p w:rsidR="009B1380" w:rsidRDefault="009B1380" w:rsidP="009B1380">
      <w:pPr>
        <w:spacing w:after="120"/>
        <w:rPr>
          <w:rFonts w:asciiTheme="minorHAnsi" w:hAnsiTheme="minorHAnsi" w:cs="Arial"/>
        </w:rPr>
      </w:pPr>
    </w:p>
    <w:p w:rsidR="009B1380" w:rsidRDefault="009B1380" w:rsidP="009B1380">
      <w:pPr>
        <w:spacing w:after="120"/>
        <w:rPr>
          <w:rFonts w:asciiTheme="minorHAnsi" w:hAnsiTheme="minorHAnsi" w:cs="Arial"/>
        </w:rPr>
      </w:pPr>
    </w:p>
    <w:p w:rsidR="009B1380" w:rsidRDefault="009B1380" w:rsidP="009B1380">
      <w:pPr>
        <w:spacing w:after="120"/>
        <w:rPr>
          <w:rFonts w:asciiTheme="minorHAnsi" w:hAnsiTheme="minorHAnsi" w:cs="Arial"/>
        </w:rPr>
      </w:pPr>
    </w:p>
    <w:p w:rsidR="004B411C" w:rsidRPr="002910E1" w:rsidRDefault="00EA338D" w:rsidP="00EA338D">
      <w:pPr>
        <w:spacing w:after="120"/>
        <w:rPr>
          <w:rFonts w:asciiTheme="minorHAnsi" w:hAnsiTheme="minorHAnsi" w:cs="Arial"/>
        </w:rPr>
      </w:pPr>
      <w:r>
        <w:rPr>
          <w:rFonts w:asciiTheme="minorHAnsi" w:hAnsiTheme="minorHAnsi" w:cs="Arial"/>
          <w:noProof/>
        </w:rPr>
        <w:drawing>
          <wp:anchor distT="0" distB="0" distL="114300" distR="114300" simplePos="0" relativeHeight="251678720" behindDoc="0" locked="0" layoutInCell="1" allowOverlap="1">
            <wp:simplePos x="0" y="0"/>
            <wp:positionH relativeFrom="margin">
              <wp:align>left</wp:align>
            </wp:positionH>
            <wp:positionV relativeFrom="paragraph">
              <wp:posOffset>81280</wp:posOffset>
            </wp:positionV>
            <wp:extent cx="4038600" cy="4217670"/>
            <wp:effectExtent l="0" t="0" r="0" b="1143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2C6497">
        <w:rPr>
          <w:rFonts w:asciiTheme="minorHAnsi" w:hAnsiTheme="minorHAnsi" w:cs="Arial"/>
          <w:noProof/>
        </w:rPr>
        <mc:AlternateContent>
          <mc:Choice Requires="wps">
            <w:drawing>
              <wp:anchor distT="0" distB="0" distL="114300" distR="114300" simplePos="0" relativeHeight="251666432" behindDoc="0" locked="0" layoutInCell="1" allowOverlap="1" wp14:anchorId="2AA89645" wp14:editId="20999FEC">
                <wp:simplePos x="0" y="0"/>
                <wp:positionH relativeFrom="column">
                  <wp:posOffset>2956140</wp:posOffset>
                </wp:positionH>
                <wp:positionV relativeFrom="paragraph">
                  <wp:posOffset>641841</wp:posOffset>
                </wp:positionV>
                <wp:extent cx="164465" cy="57150"/>
                <wp:effectExtent l="0" t="0" r="26035" b="190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 cy="571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899425" id="_x0000_t32" coordsize="21600,21600" o:spt="32" o:oned="t" path="m,l21600,21600e" filled="f">
                <v:path arrowok="t" fillok="f" o:connecttype="none"/>
                <o:lock v:ext="edit" shapetype="t"/>
              </v:shapetype>
              <v:shape id="AutoShape 8" o:spid="_x0000_s1026" type="#_x0000_t32" style="position:absolute;margin-left:232.75pt;margin-top:50.55pt;width:12.95pt;height: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" strokeweight="1pt"/>
            </w:pict>
          </mc:Fallback>
        </mc:AlternateContent>
      </w:r>
      <w:r w:rsidR="00CD3DE2">
        <w:rPr>
          <w:rFonts w:asciiTheme="minorHAnsi" w:hAnsiTheme="minorHAnsi" w:cs="Arial"/>
          <w:noProof/>
        </w:rPr>
        <mc:AlternateContent>
          <mc:Choice Requires="wps">
            <w:drawing>
              <wp:anchor distT="0" distB="0" distL="114300" distR="114300" simplePos="0" relativeHeight="251672576" behindDoc="0" locked="0" layoutInCell="1" allowOverlap="1" wp14:anchorId="7F6C3D93" wp14:editId="7683304D">
                <wp:simplePos x="0" y="0"/>
                <wp:positionH relativeFrom="column">
                  <wp:posOffset>-1155065</wp:posOffset>
                </wp:positionH>
                <wp:positionV relativeFrom="paragraph">
                  <wp:posOffset>664845</wp:posOffset>
                </wp:positionV>
                <wp:extent cx="104775" cy="48895"/>
                <wp:effectExtent l="0" t="0" r="28575" b="27305"/>
                <wp:wrapNone/>
                <wp:docPr id="17" name="AutoShape 7"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488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9C1C" id="AutoShape 7" o:spid="_x0000_s1026" type="#_x0000_t32" alt="Title: line" style="position:absolute;margin-left:-90.95pt;margin-top:52.35pt;width:8.25pt;height:3.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" strokeweight="1pt"/>
            </w:pict>
          </mc:Fallback>
        </mc:AlternateContent>
      </w:r>
      <w:r w:rsidR="00CD3DE2">
        <w:rPr>
          <w:rFonts w:asciiTheme="minorHAnsi" w:hAnsiTheme="minorHAnsi" w:cs="Arial"/>
          <w:noProof/>
        </w:rPr>
        <mc:AlternateContent>
          <mc:Choice Requires="wps">
            <w:drawing>
              <wp:anchor distT="0" distB="0" distL="114300" distR="114300" simplePos="0" relativeHeight="251670528" behindDoc="0" locked="0" layoutInCell="1" allowOverlap="1" wp14:anchorId="21E0FC93" wp14:editId="4F465DF5">
                <wp:simplePos x="0" y="0"/>
                <wp:positionH relativeFrom="column">
                  <wp:posOffset>-3345815</wp:posOffset>
                </wp:positionH>
                <wp:positionV relativeFrom="paragraph">
                  <wp:posOffset>621665</wp:posOffset>
                </wp:positionV>
                <wp:extent cx="313690" cy="85090"/>
                <wp:effectExtent l="0" t="0" r="29210" b="29210"/>
                <wp:wrapNone/>
                <wp:docPr id="7" name="AutoShape 11"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3690" cy="85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00418" id="AutoShape 11" o:spid="_x0000_s1026" type="#_x0000_t32" alt="Title: line" style="position:absolute;margin-left:-263.45pt;margin-top:48.95pt;width:24.7pt;height:6.7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" strokeweight="1pt"/>
            </w:pict>
          </mc:Fallback>
        </mc:AlternateContent>
      </w:r>
      <w:r w:rsidR="004B411C" w:rsidRPr="00E563F4">
        <w:rPr>
          <w:rFonts w:asciiTheme="minorHAnsi" w:hAnsiTheme="minorHAnsi" w:cs="Arial"/>
          <w:b/>
        </w:rPr>
        <w:t xml:space="preserve">FIGURE </w:t>
      </w:r>
      <w:r w:rsidR="00073BF2">
        <w:rPr>
          <w:rFonts w:asciiTheme="minorHAnsi" w:hAnsiTheme="minorHAnsi" w:cs="Arial"/>
          <w:b/>
        </w:rPr>
        <w:t>6</w:t>
      </w:r>
      <w:r w:rsidR="00CD3DE2">
        <w:rPr>
          <w:rFonts w:asciiTheme="minorHAnsi" w:hAnsiTheme="minorHAnsi" w:cs="Arial"/>
          <w:b/>
        </w:rPr>
        <w:t>b</w:t>
      </w:r>
      <w:r w:rsidR="004B411C" w:rsidRPr="00E563F4">
        <w:rPr>
          <w:rFonts w:asciiTheme="minorHAnsi" w:hAnsiTheme="minorHAnsi" w:cs="Arial"/>
          <w:b/>
        </w:rPr>
        <w:t>:</w:t>
      </w:r>
      <w:r w:rsidR="004B411C" w:rsidRPr="00E563F4">
        <w:rPr>
          <w:rFonts w:asciiTheme="minorHAnsi" w:hAnsiTheme="minorHAnsi" w:cs="Arial"/>
        </w:rPr>
        <w:t xml:space="preserve"> Number of </w:t>
      </w:r>
      <w:r w:rsidR="000D1EF0">
        <w:rPr>
          <w:rFonts w:asciiTheme="minorHAnsi" w:hAnsiTheme="minorHAnsi" w:cs="Arial"/>
        </w:rPr>
        <w:t>peer-reviewed articles</w:t>
      </w:r>
      <w:r w:rsidR="004B411C" w:rsidRPr="00E563F4">
        <w:rPr>
          <w:rFonts w:asciiTheme="minorHAnsi" w:hAnsiTheme="minorHAnsi" w:cs="Arial"/>
        </w:rPr>
        <w:t xml:space="preserve"> per </w:t>
      </w:r>
      <w:r w:rsidR="008075DC">
        <w:rPr>
          <w:rFonts w:asciiTheme="minorHAnsi" w:hAnsiTheme="minorHAnsi" w:cs="Arial"/>
        </w:rPr>
        <w:t>research u</w:t>
      </w:r>
      <w:r w:rsidR="00107ADA">
        <w:rPr>
          <w:rFonts w:asciiTheme="minorHAnsi" w:hAnsiTheme="minorHAnsi" w:cs="Arial"/>
        </w:rPr>
        <w:t xml:space="preserve">nit </w:t>
      </w:r>
      <w:r w:rsidR="004B411C" w:rsidRPr="00E563F4">
        <w:rPr>
          <w:rFonts w:asciiTheme="minorHAnsi" w:hAnsiTheme="minorHAnsi" w:cs="Arial"/>
        </w:rPr>
        <w:t xml:space="preserve">as a percentage of all NOAA-authored </w:t>
      </w:r>
      <w:r w:rsidR="000D1EF0">
        <w:rPr>
          <w:rFonts w:asciiTheme="minorHAnsi" w:hAnsiTheme="minorHAnsi" w:cs="Arial"/>
        </w:rPr>
        <w:t>articles</w:t>
      </w:r>
      <w:r w:rsidR="004B411C" w:rsidRPr="00E563F4">
        <w:rPr>
          <w:rFonts w:asciiTheme="minorHAnsi" w:hAnsiTheme="minorHAnsi" w:cs="Arial"/>
        </w:rPr>
        <w:t xml:space="preserve">. A single </w:t>
      </w:r>
      <w:r w:rsidR="007B4C36">
        <w:rPr>
          <w:rFonts w:asciiTheme="minorHAnsi" w:hAnsiTheme="minorHAnsi" w:cs="Arial"/>
        </w:rPr>
        <w:t>article</w:t>
      </w:r>
      <w:r w:rsidR="004B411C" w:rsidRPr="00E563F4">
        <w:rPr>
          <w:rFonts w:asciiTheme="minorHAnsi" w:hAnsiTheme="minorHAnsi" w:cs="Arial"/>
        </w:rPr>
        <w:t xml:space="preserve"> with authors from more than one </w:t>
      </w:r>
      <w:r w:rsidR="00107ADA">
        <w:rPr>
          <w:rFonts w:asciiTheme="minorHAnsi" w:hAnsiTheme="minorHAnsi" w:cs="Arial"/>
        </w:rPr>
        <w:t>unit</w:t>
      </w:r>
      <w:r w:rsidR="004B411C" w:rsidRPr="00E563F4">
        <w:rPr>
          <w:rFonts w:asciiTheme="minorHAnsi" w:hAnsiTheme="minorHAnsi" w:cs="Arial"/>
        </w:rPr>
        <w:t xml:space="preserve"> is cou</w:t>
      </w:r>
      <w:r w:rsidR="00CD3DE2">
        <w:rPr>
          <w:rFonts w:asciiTheme="minorHAnsi" w:hAnsiTheme="minorHAnsi" w:cs="Arial"/>
        </w:rPr>
        <w:t xml:space="preserve">nted as one </w:t>
      </w:r>
      <w:r w:rsidR="000D1EF0">
        <w:rPr>
          <w:rFonts w:asciiTheme="minorHAnsi" w:hAnsiTheme="minorHAnsi" w:cs="Arial"/>
        </w:rPr>
        <w:t>article</w:t>
      </w:r>
      <w:r w:rsidR="00CD3DE2">
        <w:rPr>
          <w:rFonts w:asciiTheme="minorHAnsi" w:hAnsiTheme="minorHAnsi" w:cs="Arial"/>
        </w:rPr>
        <w:t xml:space="preserve"> for each</w:t>
      </w:r>
      <w:r w:rsidR="004B411C" w:rsidRPr="00E563F4">
        <w:rPr>
          <w:rFonts w:asciiTheme="minorHAnsi" w:hAnsiTheme="minorHAnsi" w:cs="Arial"/>
        </w:rPr>
        <w:t>.</w:t>
      </w:r>
    </w:p>
    <w:p w:rsidR="004B411C" w:rsidRPr="006345BF" w:rsidRDefault="003558E6" w:rsidP="004B411C">
      <w:pPr>
        <w:spacing w:after="120"/>
        <w:jc w:val="center"/>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665408" behindDoc="0" locked="0" layoutInCell="1" allowOverlap="1" wp14:anchorId="77A5DB69" wp14:editId="30DF4667">
                <wp:simplePos x="0" y="0"/>
                <wp:positionH relativeFrom="column">
                  <wp:posOffset>-1878965</wp:posOffset>
                </wp:positionH>
                <wp:positionV relativeFrom="paragraph">
                  <wp:posOffset>2272030</wp:posOffset>
                </wp:positionV>
                <wp:extent cx="104775" cy="132080"/>
                <wp:effectExtent l="0" t="0" r="28575" b="20320"/>
                <wp:wrapNone/>
                <wp:docPr id="5" name="AutoShape 7"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320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156B2" id="AutoShape 7" o:spid="_x0000_s1026" type="#_x0000_t32" alt="Title: line" style="position:absolute;margin-left:-147.95pt;margin-top:178.9pt;width:8.25pt;height:1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" strokeweight="1pt"/>
            </w:pict>
          </mc:Fallback>
        </mc:AlternateContent>
      </w:r>
      <w:r>
        <w:rPr>
          <w:rFonts w:asciiTheme="minorHAnsi" w:hAnsiTheme="minorHAnsi" w:cs="Arial"/>
          <w:noProof/>
        </w:rPr>
        <mc:AlternateContent>
          <mc:Choice Requires="wps">
            <w:drawing>
              <wp:anchor distT="0" distB="0" distL="114300" distR="114300" simplePos="0" relativeHeight="251674624" behindDoc="0" locked="0" layoutInCell="1" allowOverlap="1" wp14:anchorId="51031B65" wp14:editId="7F3EE574">
                <wp:simplePos x="0" y="0"/>
                <wp:positionH relativeFrom="column">
                  <wp:posOffset>-3602990</wp:posOffset>
                </wp:positionH>
                <wp:positionV relativeFrom="paragraph">
                  <wp:posOffset>1595755</wp:posOffset>
                </wp:positionV>
                <wp:extent cx="114300" cy="85090"/>
                <wp:effectExtent l="0" t="0" r="19050" b="29210"/>
                <wp:wrapNone/>
                <wp:docPr id="20" name="AutoShape 7"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85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F7EF1" id="AutoShape 7" o:spid="_x0000_s1026" type="#_x0000_t32" alt="Title: line" style="position:absolute;margin-left:-283.7pt;margin-top:125.65pt;width:9pt;height:6.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" strokeweight="1pt"/>
            </w:pict>
          </mc:Fallback>
        </mc:AlternateContent>
      </w:r>
      <w:r w:rsidR="00CD3DE2">
        <w:rPr>
          <w:rFonts w:asciiTheme="minorHAnsi" w:hAnsiTheme="minorHAnsi" w:cs="Arial"/>
          <w:noProof/>
        </w:rPr>
        <mc:AlternateContent>
          <mc:Choice Requires="wps">
            <w:drawing>
              <wp:anchor distT="0" distB="0" distL="114300" distR="114300" simplePos="0" relativeHeight="251677696" behindDoc="0" locked="0" layoutInCell="1" allowOverlap="1" wp14:anchorId="2AF58555" wp14:editId="2808E0D4">
                <wp:simplePos x="0" y="0"/>
                <wp:positionH relativeFrom="column">
                  <wp:posOffset>-3822065</wp:posOffset>
                </wp:positionH>
                <wp:positionV relativeFrom="paragraph">
                  <wp:posOffset>1138555</wp:posOffset>
                </wp:positionV>
                <wp:extent cx="114300" cy="85090"/>
                <wp:effectExtent l="0" t="0" r="19050" b="29210"/>
                <wp:wrapNone/>
                <wp:docPr id="27" name="AutoShape 7"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85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AC335" id="AutoShape 7" o:spid="_x0000_s1026" type="#_x0000_t32" alt="Title: line" style="position:absolute;margin-left:-300.95pt;margin-top:89.65pt;width:9pt;height:6.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" strokeweight="1pt"/>
            </w:pict>
          </mc:Fallback>
        </mc:AlternateContent>
      </w:r>
    </w:p>
    <w:p w:rsidR="004B411C" w:rsidRDefault="004B411C" w:rsidP="004B411C">
      <w:pPr>
        <w:spacing w:after="360"/>
        <w:rPr>
          <w:rFonts w:asciiTheme="minorHAnsi" w:hAnsiTheme="minorHAnsi" w:cs="Arial"/>
          <w:sz w:val="20"/>
          <w:szCs w:val="20"/>
        </w:rPr>
      </w:pPr>
    </w:p>
    <w:p w:rsidR="002E37D5" w:rsidRPr="006345BF" w:rsidRDefault="002E37D5" w:rsidP="004B411C">
      <w:pPr>
        <w:spacing w:after="360"/>
        <w:rPr>
          <w:rFonts w:asciiTheme="minorHAnsi" w:hAnsiTheme="minorHAnsi" w:cs="Arial"/>
          <w:sz w:val="20"/>
          <w:szCs w:val="20"/>
        </w:rPr>
      </w:pPr>
    </w:p>
    <w:p w:rsidR="004B411C" w:rsidRDefault="004B411C" w:rsidP="00BD0667">
      <w:pPr>
        <w:pStyle w:val="Heading1"/>
      </w:pPr>
    </w:p>
    <w:p w:rsidR="003E4CA0" w:rsidRDefault="003E4CA0" w:rsidP="003E4CA0"/>
    <w:p w:rsidR="003E4CA0" w:rsidRDefault="003E4CA0" w:rsidP="003E4CA0"/>
    <w:p w:rsidR="003E4CA0" w:rsidRDefault="003E4CA0" w:rsidP="003E4CA0"/>
    <w:p w:rsidR="003E4CA0" w:rsidRDefault="003E4CA0" w:rsidP="003E4CA0"/>
    <w:p w:rsidR="003E4CA0" w:rsidRDefault="003E4CA0" w:rsidP="003E4CA0"/>
    <w:p w:rsidR="003E4CA0" w:rsidRDefault="003E4CA0" w:rsidP="002B6332">
      <w:pPr>
        <w:pStyle w:val="Heading2"/>
      </w:pPr>
      <w:bookmarkStart w:id="3" w:name="_Toc2930330"/>
      <w:r w:rsidRPr="002B6332">
        <w:t>Collaboration</w:t>
      </w:r>
      <w:bookmarkEnd w:id="3"/>
      <w:r>
        <w:t xml:space="preserve"> </w:t>
      </w:r>
    </w:p>
    <w:p w:rsidR="002B6332" w:rsidRPr="002B6332" w:rsidRDefault="002B6332" w:rsidP="00073BF2">
      <w:pPr>
        <w:spacing w:after="360"/>
      </w:pPr>
      <w:r>
        <w:t xml:space="preserve">NOAA authors collaborate in their research with other authors both within NOAA and </w:t>
      </w:r>
      <w:r w:rsidR="000C32D7">
        <w:t>externally</w:t>
      </w:r>
      <w:r>
        <w:t>. These figures seek to illustrate the rates at which NOAA authors collabo</w:t>
      </w:r>
      <w:r w:rsidR="000C32D7">
        <w:t>rate with other researchers as well as which institutions and nations those researchers are affiliated with.</w:t>
      </w:r>
    </w:p>
    <w:tbl>
      <w:tblPr>
        <w:tblW w:w="0" w:type="auto"/>
        <w:tblBorders>
          <w:top w:val="single" w:sz="8" w:space="0" w:color="4F81BD"/>
          <w:bottom w:val="single" w:sz="8" w:space="0" w:color="4F81BD"/>
        </w:tblBorders>
        <w:tblLook w:val="04A0" w:firstRow="1" w:lastRow="0" w:firstColumn="1" w:lastColumn="0" w:noHBand="0" w:noVBand="1"/>
        <w:tblCaption w:val="Types of Collaboration"/>
        <w:tblDescription w:val="Table describes ollaboration rates at various levels of aggregation for NOAA-authored publications in FY2017."/>
      </w:tblPr>
      <w:tblGrid>
        <w:gridCol w:w="6438"/>
        <w:gridCol w:w="2922"/>
      </w:tblGrid>
      <w:tr w:rsidR="004B411C" w:rsidRPr="006345BF" w:rsidTr="00E30A4A">
        <w:tc>
          <w:tcPr>
            <w:tcW w:w="6588" w:type="dxa"/>
            <w:tcBorders>
              <w:top w:val="single" w:sz="8" w:space="0" w:color="4F81BD" w:themeColor="accent1"/>
              <w:left w:val="nil"/>
              <w:bottom w:val="single" w:sz="8" w:space="0" w:color="4F81BD" w:themeColor="accent1"/>
              <w:right w:val="nil"/>
            </w:tcBorders>
          </w:tcPr>
          <w:p w:rsidR="004B411C" w:rsidRPr="00BD0667" w:rsidRDefault="004B411C" w:rsidP="009A103A">
            <w:pPr>
              <w:spacing w:before="120" w:after="120" w:line="240" w:lineRule="auto"/>
              <w:rPr>
                <w:rFonts w:asciiTheme="minorHAnsi" w:eastAsiaTheme="minorHAnsi" w:hAnsiTheme="minorHAnsi" w:cs="Arial"/>
                <w:b/>
                <w:bCs/>
                <w:color w:val="244061" w:themeColor="accent1" w:themeShade="80"/>
                <w:sz w:val="24"/>
                <w:szCs w:val="24"/>
              </w:rPr>
            </w:pPr>
            <w:r w:rsidRPr="00BD0667">
              <w:rPr>
                <w:rFonts w:asciiTheme="minorHAnsi" w:eastAsiaTheme="minorHAnsi" w:hAnsiTheme="minorHAnsi" w:cs="Arial"/>
                <w:b/>
                <w:bCs/>
                <w:color w:val="244061" w:themeColor="accent1" w:themeShade="80"/>
                <w:sz w:val="24"/>
                <w:szCs w:val="24"/>
              </w:rPr>
              <w:t>Type of Collaboration</w:t>
            </w:r>
          </w:p>
        </w:tc>
        <w:tc>
          <w:tcPr>
            <w:tcW w:w="2988" w:type="dxa"/>
            <w:tcBorders>
              <w:top w:val="single" w:sz="8" w:space="0" w:color="4F81BD" w:themeColor="accent1"/>
              <w:left w:val="nil"/>
              <w:bottom w:val="single" w:sz="8" w:space="0" w:color="4F81BD" w:themeColor="accent1"/>
              <w:right w:val="nil"/>
            </w:tcBorders>
          </w:tcPr>
          <w:p w:rsidR="004B411C" w:rsidRPr="00BD0667" w:rsidRDefault="004B411C" w:rsidP="00E30A4A">
            <w:pPr>
              <w:spacing w:before="120" w:after="120" w:line="240" w:lineRule="auto"/>
              <w:jc w:val="center"/>
              <w:rPr>
                <w:rFonts w:asciiTheme="minorHAnsi" w:eastAsiaTheme="minorHAnsi" w:hAnsiTheme="minorHAnsi" w:cs="Arial"/>
                <w:b/>
                <w:bCs/>
                <w:color w:val="244061" w:themeColor="accent1" w:themeShade="80"/>
                <w:sz w:val="24"/>
                <w:szCs w:val="24"/>
              </w:rPr>
            </w:pPr>
            <w:r w:rsidRPr="00BD0667">
              <w:rPr>
                <w:rFonts w:asciiTheme="minorHAnsi" w:eastAsiaTheme="minorHAnsi" w:hAnsiTheme="minorHAnsi" w:cs="Arial"/>
                <w:b/>
                <w:bCs/>
                <w:color w:val="244061" w:themeColor="accent1" w:themeShade="80"/>
                <w:sz w:val="24"/>
                <w:szCs w:val="24"/>
              </w:rPr>
              <w:t>Rate</w:t>
            </w:r>
          </w:p>
        </w:tc>
      </w:tr>
      <w:tr w:rsidR="004B411C" w:rsidRPr="006345BF" w:rsidTr="00E30A4A">
        <w:tc>
          <w:tcPr>
            <w:tcW w:w="6588" w:type="dxa"/>
            <w:tcBorders>
              <w:left w:val="nil"/>
              <w:right w:val="nil"/>
            </w:tcBorders>
            <w:shd w:val="clear" w:color="auto" w:fill="D3DFEE" w:themeFill="accent1" w:themeFillTint="3F"/>
          </w:tcPr>
          <w:p w:rsidR="004B411C" w:rsidRPr="00BD0667" w:rsidRDefault="004B411C" w:rsidP="009A103A">
            <w:pPr>
              <w:spacing w:before="120" w:after="120" w:line="240" w:lineRule="auto"/>
              <w:rPr>
                <w:rFonts w:asciiTheme="minorHAnsi" w:eastAsiaTheme="minorHAnsi" w:hAnsiTheme="minorHAnsi" w:cs="Arial"/>
                <w:bCs/>
                <w:color w:val="244061" w:themeColor="accent1" w:themeShade="80"/>
                <w:sz w:val="24"/>
                <w:szCs w:val="24"/>
              </w:rPr>
            </w:pPr>
            <w:r w:rsidRPr="00BD0667">
              <w:rPr>
                <w:rFonts w:asciiTheme="minorHAnsi" w:eastAsiaTheme="minorHAnsi" w:hAnsiTheme="minorHAnsi" w:cs="Arial"/>
                <w:bCs/>
                <w:color w:val="244061" w:themeColor="accent1" w:themeShade="80"/>
                <w:sz w:val="24"/>
                <w:szCs w:val="24"/>
              </w:rPr>
              <w:t>Intramural collaboration at the line office level</w:t>
            </w:r>
          </w:p>
        </w:tc>
        <w:tc>
          <w:tcPr>
            <w:tcW w:w="2988" w:type="dxa"/>
            <w:tcBorders>
              <w:left w:val="nil"/>
              <w:right w:val="nil"/>
            </w:tcBorders>
            <w:shd w:val="clear" w:color="auto" w:fill="D3DFEE" w:themeFill="accent1" w:themeFillTint="3F"/>
          </w:tcPr>
          <w:p w:rsidR="004B411C" w:rsidRPr="00BD0667" w:rsidRDefault="005E6A5D" w:rsidP="002F362D">
            <w:pPr>
              <w:spacing w:before="120" w:after="120" w:line="240" w:lineRule="auto"/>
              <w:jc w:val="center"/>
              <w:rPr>
                <w:rFonts w:asciiTheme="minorHAnsi" w:eastAsiaTheme="minorHAnsi" w:hAnsiTheme="minorHAnsi" w:cs="Arial"/>
                <w:b/>
                <w:sz w:val="24"/>
                <w:szCs w:val="24"/>
              </w:rPr>
            </w:pPr>
            <w:r w:rsidRPr="00BD0667">
              <w:rPr>
                <w:rFonts w:asciiTheme="minorHAnsi" w:eastAsiaTheme="minorHAnsi" w:hAnsiTheme="minorHAnsi" w:cs="Arial"/>
                <w:b/>
                <w:color w:val="365F91" w:themeColor="accent1" w:themeShade="BF"/>
                <w:sz w:val="24"/>
                <w:szCs w:val="24"/>
              </w:rPr>
              <w:t>6</w:t>
            </w:r>
            <w:r w:rsidR="00AA674A" w:rsidRPr="00BD0667">
              <w:rPr>
                <w:rFonts w:asciiTheme="minorHAnsi" w:eastAsiaTheme="minorHAnsi" w:hAnsiTheme="minorHAnsi" w:cs="Arial"/>
                <w:b/>
                <w:color w:val="365F91" w:themeColor="accent1" w:themeShade="BF"/>
                <w:sz w:val="24"/>
                <w:szCs w:val="24"/>
              </w:rPr>
              <w:t>.</w:t>
            </w:r>
            <w:r w:rsidR="002F362D">
              <w:rPr>
                <w:rFonts w:asciiTheme="minorHAnsi" w:eastAsiaTheme="minorHAnsi" w:hAnsiTheme="minorHAnsi" w:cs="Arial"/>
                <w:b/>
                <w:color w:val="365F91" w:themeColor="accent1" w:themeShade="BF"/>
                <w:sz w:val="24"/>
                <w:szCs w:val="24"/>
              </w:rPr>
              <w:t>25</w:t>
            </w:r>
            <w:r w:rsidR="004B411C" w:rsidRPr="00BD0667">
              <w:rPr>
                <w:rFonts w:asciiTheme="minorHAnsi" w:eastAsiaTheme="minorHAnsi" w:hAnsiTheme="minorHAnsi" w:cs="Arial"/>
                <w:b/>
                <w:color w:val="365F91"/>
                <w:sz w:val="24"/>
                <w:szCs w:val="24"/>
              </w:rPr>
              <w:t xml:space="preserve"> %</w:t>
            </w:r>
          </w:p>
        </w:tc>
      </w:tr>
      <w:tr w:rsidR="004B411C" w:rsidRPr="006345BF" w:rsidTr="00E30A4A">
        <w:tc>
          <w:tcPr>
            <w:tcW w:w="6588" w:type="dxa"/>
          </w:tcPr>
          <w:p w:rsidR="004B411C" w:rsidRPr="00BD0667" w:rsidRDefault="004B411C" w:rsidP="009A103A">
            <w:pPr>
              <w:spacing w:before="120" w:after="120" w:line="240" w:lineRule="auto"/>
              <w:rPr>
                <w:rFonts w:asciiTheme="minorHAnsi" w:eastAsiaTheme="minorHAnsi" w:hAnsiTheme="minorHAnsi" w:cs="Arial"/>
                <w:bCs/>
                <w:color w:val="244061" w:themeColor="accent1" w:themeShade="80"/>
                <w:sz w:val="24"/>
                <w:szCs w:val="24"/>
              </w:rPr>
            </w:pPr>
            <w:r w:rsidRPr="00BD0667">
              <w:rPr>
                <w:rFonts w:asciiTheme="minorHAnsi" w:eastAsiaTheme="minorHAnsi" w:hAnsiTheme="minorHAnsi" w:cs="Arial"/>
                <w:bCs/>
                <w:color w:val="244061" w:themeColor="accent1" w:themeShade="80"/>
                <w:sz w:val="24"/>
                <w:szCs w:val="24"/>
              </w:rPr>
              <w:t>Intramural collaboration at the research unit level</w:t>
            </w:r>
          </w:p>
        </w:tc>
        <w:tc>
          <w:tcPr>
            <w:tcW w:w="2988" w:type="dxa"/>
          </w:tcPr>
          <w:p w:rsidR="004B411C" w:rsidRPr="00BD0667" w:rsidRDefault="009A103A" w:rsidP="002F362D">
            <w:pPr>
              <w:spacing w:before="120" w:after="120" w:line="240" w:lineRule="auto"/>
              <w:jc w:val="center"/>
              <w:rPr>
                <w:rFonts w:asciiTheme="minorHAnsi" w:eastAsiaTheme="minorHAnsi" w:hAnsiTheme="minorHAnsi" w:cs="Arial"/>
                <w:b/>
                <w:sz w:val="24"/>
                <w:szCs w:val="24"/>
              </w:rPr>
            </w:pPr>
            <w:r w:rsidRPr="00BD0667">
              <w:rPr>
                <w:rFonts w:asciiTheme="minorHAnsi" w:eastAsiaTheme="minorHAnsi" w:hAnsiTheme="minorHAnsi" w:cs="Arial"/>
                <w:b/>
                <w:color w:val="365F91" w:themeColor="accent1" w:themeShade="BF"/>
                <w:sz w:val="24"/>
                <w:szCs w:val="24"/>
              </w:rPr>
              <w:t>1</w:t>
            </w:r>
            <w:r w:rsidR="002F362D">
              <w:rPr>
                <w:rFonts w:asciiTheme="minorHAnsi" w:eastAsiaTheme="minorHAnsi" w:hAnsiTheme="minorHAnsi" w:cs="Arial"/>
                <w:b/>
                <w:color w:val="365F91" w:themeColor="accent1" w:themeShade="BF"/>
                <w:sz w:val="24"/>
                <w:szCs w:val="24"/>
              </w:rPr>
              <w:t>1</w:t>
            </w:r>
            <w:r w:rsidRPr="00BD0667">
              <w:rPr>
                <w:rFonts w:asciiTheme="minorHAnsi" w:eastAsiaTheme="minorHAnsi" w:hAnsiTheme="minorHAnsi" w:cs="Arial"/>
                <w:b/>
                <w:color w:val="365F91" w:themeColor="accent1" w:themeShade="BF"/>
                <w:sz w:val="24"/>
                <w:szCs w:val="24"/>
              </w:rPr>
              <w:t>.</w:t>
            </w:r>
            <w:r w:rsidR="002F362D">
              <w:rPr>
                <w:rFonts w:asciiTheme="minorHAnsi" w:eastAsiaTheme="minorHAnsi" w:hAnsiTheme="minorHAnsi" w:cs="Arial"/>
                <w:b/>
                <w:color w:val="365F91" w:themeColor="accent1" w:themeShade="BF"/>
                <w:sz w:val="24"/>
                <w:szCs w:val="24"/>
              </w:rPr>
              <w:t>93</w:t>
            </w:r>
            <w:r w:rsidR="004B411C" w:rsidRPr="00BD0667">
              <w:rPr>
                <w:rFonts w:asciiTheme="minorHAnsi" w:eastAsiaTheme="minorHAnsi" w:hAnsiTheme="minorHAnsi" w:cs="Arial"/>
                <w:b/>
                <w:color w:val="365F91"/>
                <w:sz w:val="24"/>
                <w:szCs w:val="24"/>
              </w:rPr>
              <w:t xml:space="preserve"> %</w:t>
            </w:r>
          </w:p>
        </w:tc>
      </w:tr>
      <w:tr w:rsidR="004B411C" w:rsidRPr="006345BF" w:rsidTr="00E30A4A">
        <w:tc>
          <w:tcPr>
            <w:tcW w:w="6588" w:type="dxa"/>
            <w:tcBorders>
              <w:left w:val="nil"/>
              <w:right w:val="nil"/>
            </w:tcBorders>
            <w:shd w:val="clear" w:color="auto" w:fill="D3DFEE" w:themeFill="accent1" w:themeFillTint="3F"/>
          </w:tcPr>
          <w:p w:rsidR="004B411C" w:rsidRPr="00BD0667" w:rsidRDefault="004B411C" w:rsidP="009A103A">
            <w:pPr>
              <w:spacing w:before="120" w:after="120" w:line="240" w:lineRule="auto"/>
              <w:rPr>
                <w:rFonts w:asciiTheme="minorHAnsi" w:eastAsiaTheme="minorHAnsi" w:hAnsiTheme="minorHAnsi" w:cs="Arial"/>
                <w:bCs/>
                <w:color w:val="244061" w:themeColor="accent1" w:themeShade="80"/>
                <w:sz w:val="24"/>
                <w:szCs w:val="24"/>
              </w:rPr>
            </w:pPr>
            <w:r w:rsidRPr="00BD0667">
              <w:rPr>
                <w:rFonts w:asciiTheme="minorHAnsi" w:eastAsiaTheme="minorHAnsi" w:hAnsiTheme="minorHAnsi" w:cs="Arial"/>
                <w:bCs/>
                <w:color w:val="244061" w:themeColor="accent1" w:themeShade="80"/>
                <w:sz w:val="24"/>
                <w:szCs w:val="24"/>
              </w:rPr>
              <w:t xml:space="preserve">Extramural collaboration at the institutional level </w:t>
            </w:r>
          </w:p>
        </w:tc>
        <w:tc>
          <w:tcPr>
            <w:tcW w:w="2988" w:type="dxa"/>
            <w:tcBorders>
              <w:left w:val="nil"/>
              <w:right w:val="nil"/>
            </w:tcBorders>
            <w:shd w:val="clear" w:color="auto" w:fill="D3DFEE" w:themeFill="accent1" w:themeFillTint="3F"/>
          </w:tcPr>
          <w:p w:rsidR="004B411C" w:rsidRPr="00BD0667" w:rsidRDefault="003F6A37" w:rsidP="007A19FF">
            <w:pPr>
              <w:spacing w:before="120" w:after="120" w:line="240" w:lineRule="auto"/>
              <w:jc w:val="center"/>
              <w:rPr>
                <w:rFonts w:asciiTheme="minorHAnsi" w:eastAsiaTheme="minorHAnsi" w:hAnsiTheme="minorHAnsi" w:cs="Arial"/>
                <w:b/>
                <w:sz w:val="24"/>
                <w:szCs w:val="24"/>
              </w:rPr>
            </w:pPr>
            <w:r w:rsidRPr="00BD0667">
              <w:rPr>
                <w:rFonts w:asciiTheme="minorHAnsi" w:eastAsiaTheme="minorHAnsi" w:hAnsiTheme="minorHAnsi" w:cs="Arial"/>
                <w:b/>
                <w:color w:val="365F91"/>
                <w:sz w:val="24"/>
                <w:szCs w:val="24"/>
              </w:rPr>
              <w:t>9</w:t>
            </w:r>
            <w:r w:rsidR="007A19FF">
              <w:rPr>
                <w:rFonts w:asciiTheme="minorHAnsi" w:eastAsiaTheme="minorHAnsi" w:hAnsiTheme="minorHAnsi" w:cs="Arial"/>
                <w:b/>
                <w:color w:val="365F91"/>
                <w:sz w:val="24"/>
                <w:szCs w:val="24"/>
              </w:rPr>
              <w:t>4</w:t>
            </w:r>
            <w:r w:rsidR="00573889" w:rsidRPr="00BD0667">
              <w:rPr>
                <w:rFonts w:asciiTheme="minorHAnsi" w:eastAsiaTheme="minorHAnsi" w:hAnsiTheme="minorHAnsi" w:cs="Arial"/>
                <w:b/>
                <w:color w:val="365F91"/>
                <w:sz w:val="24"/>
                <w:szCs w:val="24"/>
              </w:rPr>
              <w:t>.</w:t>
            </w:r>
            <w:r w:rsidR="007A19FF">
              <w:rPr>
                <w:rFonts w:asciiTheme="minorHAnsi" w:eastAsiaTheme="minorHAnsi" w:hAnsiTheme="minorHAnsi" w:cs="Arial"/>
                <w:b/>
                <w:color w:val="365F91"/>
                <w:sz w:val="24"/>
                <w:szCs w:val="24"/>
              </w:rPr>
              <w:t>83</w:t>
            </w:r>
            <w:r w:rsidR="004B411C" w:rsidRPr="00BD0667">
              <w:rPr>
                <w:rFonts w:asciiTheme="minorHAnsi" w:eastAsiaTheme="minorHAnsi" w:hAnsiTheme="minorHAnsi" w:cs="Arial"/>
                <w:b/>
                <w:color w:val="365F91"/>
                <w:sz w:val="24"/>
                <w:szCs w:val="24"/>
              </w:rPr>
              <w:t xml:space="preserve"> %</w:t>
            </w:r>
          </w:p>
        </w:tc>
      </w:tr>
      <w:tr w:rsidR="004B411C" w:rsidRPr="006345BF" w:rsidTr="00E30A4A">
        <w:tc>
          <w:tcPr>
            <w:tcW w:w="6588" w:type="dxa"/>
          </w:tcPr>
          <w:p w:rsidR="004B411C" w:rsidRPr="00BD0667" w:rsidRDefault="004B411C" w:rsidP="009A103A">
            <w:pPr>
              <w:spacing w:before="120" w:after="120" w:line="240" w:lineRule="auto"/>
              <w:rPr>
                <w:rFonts w:asciiTheme="minorHAnsi" w:eastAsiaTheme="minorHAnsi" w:hAnsiTheme="minorHAnsi" w:cs="Arial"/>
                <w:bCs/>
                <w:color w:val="244061" w:themeColor="accent1" w:themeShade="80"/>
                <w:sz w:val="24"/>
                <w:szCs w:val="24"/>
              </w:rPr>
            </w:pPr>
            <w:r w:rsidRPr="00BD0667">
              <w:rPr>
                <w:rFonts w:asciiTheme="minorHAnsi" w:eastAsiaTheme="minorHAnsi" w:hAnsiTheme="minorHAnsi" w:cs="Arial"/>
                <w:bCs/>
                <w:color w:val="244061" w:themeColor="accent1" w:themeShade="80"/>
                <w:sz w:val="24"/>
                <w:szCs w:val="24"/>
              </w:rPr>
              <w:t>Extramural collaboration at the international level</w:t>
            </w:r>
          </w:p>
        </w:tc>
        <w:tc>
          <w:tcPr>
            <w:tcW w:w="2988" w:type="dxa"/>
          </w:tcPr>
          <w:p w:rsidR="004B411C" w:rsidRPr="00BD0667" w:rsidRDefault="002F362D" w:rsidP="002F362D">
            <w:pPr>
              <w:spacing w:before="120" w:after="120" w:line="240" w:lineRule="auto"/>
              <w:jc w:val="center"/>
              <w:rPr>
                <w:rFonts w:asciiTheme="minorHAnsi" w:eastAsiaTheme="minorHAnsi" w:hAnsiTheme="minorHAnsi" w:cs="Arial"/>
                <w:b/>
                <w:sz w:val="24"/>
                <w:szCs w:val="24"/>
              </w:rPr>
            </w:pPr>
            <w:r>
              <w:rPr>
                <w:rFonts w:asciiTheme="minorHAnsi" w:eastAsiaTheme="minorHAnsi" w:hAnsiTheme="minorHAnsi" w:cs="Arial"/>
                <w:b/>
                <w:color w:val="365F91"/>
                <w:sz w:val="24"/>
                <w:szCs w:val="24"/>
              </w:rPr>
              <w:t>39</w:t>
            </w:r>
            <w:r w:rsidR="00573889" w:rsidRPr="00BD0667">
              <w:rPr>
                <w:rFonts w:asciiTheme="minorHAnsi" w:eastAsiaTheme="minorHAnsi" w:hAnsiTheme="minorHAnsi" w:cs="Arial"/>
                <w:b/>
                <w:color w:val="365F91"/>
                <w:sz w:val="24"/>
                <w:szCs w:val="24"/>
              </w:rPr>
              <w:t>.</w:t>
            </w:r>
            <w:r>
              <w:rPr>
                <w:rFonts w:asciiTheme="minorHAnsi" w:eastAsiaTheme="minorHAnsi" w:hAnsiTheme="minorHAnsi" w:cs="Arial"/>
                <w:b/>
                <w:color w:val="365F91"/>
                <w:sz w:val="24"/>
                <w:szCs w:val="24"/>
              </w:rPr>
              <w:t>67</w:t>
            </w:r>
            <w:r w:rsidR="004B411C" w:rsidRPr="00BD0667">
              <w:rPr>
                <w:rFonts w:asciiTheme="minorHAnsi" w:eastAsiaTheme="minorHAnsi" w:hAnsiTheme="minorHAnsi" w:cs="Arial"/>
                <w:b/>
                <w:color w:val="365F91"/>
                <w:sz w:val="24"/>
                <w:szCs w:val="24"/>
              </w:rPr>
              <w:t xml:space="preserve"> %</w:t>
            </w:r>
          </w:p>
        </w:tc>
      </w:tr>
    </w:tbl>
    <w:p w:rsidR="002910E1" w:rsidRPr="00160493" w:rsidRDefault="002910E1" w:rsidP="002910E1">
      <w:pPr>
        <w:spacing w:before="240" w:after="0"/>
      </w:pPr>
      <w:r w:rsidRPr="007B4C36">
        <w:rPr>
          <w:b/>
        </w:rPr>
        <w:t>TABLE 1:</w:t>
      </w:r>
      <w:r w:rsidRPr="007B4C36">
        <w:t xml:space="preserve"> Collaboration rates at various levels of aggregation for NOAA-authored publications in FY</w:t>
      </w:r>
      <w:r w:rsidR="00690A58" w:rsidRPr="007B4C36">
        <w:t>20</w:t>
      </w:r>
      <w:r w:rsidR="002B6CBB">
        <w:t>21</w:t>
      </w:r>
      <w:r w:rsidRPr="007B4C36">
        <w:t>. Each percentage gives the percentage of all NOAA-authored publications that feature at least one co-authorship pair at each level of aggregation.</w:t>
      </w:r>
      <w:r w:rsidRPr="00160493">
        <w:t xml:space="preserve"> </w:t>
      </w:r>
    </w:p>
    <w:p w:rsidR="004B411C" w:rsidRPr="006345BF" w:rsidRDefault="004B411C" w:rsidP="004B411C">
      <w:pPr>
        <w:spacing w:after="360"/>
        <w:rPr>
          <w:rFonts w:asciiTheme="minorHAnsi" w:hAnsiTheme="minorHAnsi" w:cs="Arial"/>
          <w:b/>
          <w:color w:val="365F91" w:themeColor="accent1" w:themeShade="BF"/>
          <w:sz w:val="24"/>
          <w:szCs w:val="24"/>
        </w:rPr>
      </w:pPr>
    </w:p>
    <w:p w:rsidR="002B6332" w:rsidRDefault="002B6332">
      <w:pPr>
        <w:spacing w:after="0" w:line="240" w:lineRule="auto"/>
        <w:rPr>
          <w:rFonts w:asciiTheme="minorHAnsi" w:hAnsiTheme="minorHAnsi" w:cs="Arial"/>
          <w:sz w:val="20"/>
          <w:szCs w:val="20"/>
        </w:rPr>
      </w:pPr>
      <w:r>
        <w:rPr>
          <w:rFonts w:asciiTheme="minorHAnsi" w:hAnsiTheme="minorHAnsi" w:cs="Arial"/>
          <w:sz w:val="20"/>
          <w:szCs w:val="20"/>
        </w:rPr>
        <w:br w:type="page"/>
      </w:r>
    </w:p>
    <w:p w:rsidR="004B411C" w:rsidRDefault="000E2C4F" w:rsidP="00A805F3">
      <w:pPr>
        <w:spacing w:after="360"/>
        <w:jc w:val="center"/>
        <w:rPr>
          <w:rFonts w:asciiTheme="minorHAnsi" w:hAnsiTheme="minorHAnsi" w:cs="Arial"/>
          <w:sz w:val="20"/>
          <w:szCs w:val="20"/>
        </w:rPr>
      </w:pPr>
      <w:r w:rsidRPr="006345BF">
        <w:rPr>
          <w:rFonts w:asciiTheme="minorHAnsi" w:hAnsiTheme="minorHAnsi" w:cs="Arial"/>
          <w:noProof/>
          <w:sz w:val="20"/>
          <w:szCs w:val="20"/>
        </w:rPr>
        <w:drawing>
          <wp:inline distT="0" distB="0" distL="0" distR="0">
            <wp:extent cx="5884043" cy="4132053"/>
            <wp:effectExtent l="19050" t="19050" r="21590" b="2095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 LO Collab.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897831" cy="4141735"/>
                    </a:xfrm>
                    <a:prstGeom prst="rect">
                      <a:avLst/>
                    </a:prstGeom>
                    <a:noFill/>
                    <a:ln w="19050"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2910E1" w:rsidRPr="00160493" w:rsidRDefault="002910E1" w:rsidP="002910E1">
      <w:pPr>
        <w:spacing w:before="240" w:after="0"/>
      </w:pPr>
      <w:r w:rsidRPr="009A4808">
        <w:rPr>
          <w:b/>
        </w:rPr>
        <w:t xml:space="preserve">FIGURE </w:t>
      </w:r>
      <w:r w:rsidR="00073BF2">
        <w:rPr>
          <w:b/>
        </w:rPr>
        <w:t>7</w:t>
      </w:r>
      <w:r w:rsidRPr="009A4808">
        <w:rPr>
          <w:b/>
        </w:rPr>
        <w:t>:</w:t>
      </w:r>
      <w:r w:rsidRPr="009A4808">
        <w:t xml:space="preserve"> Collaboration network of NOAA line offices based on co-authored publications in FY</w:t>
      </w:r>
      <w:r w:rsidR="007B4C36" w:rsidRPr="009A4808">
        <w:t>20</w:t>
      </w:r>
      <w:r w:rsidR="002B6CBB">
        <w:t>21</w:t>
      </w:r>
      <w:r w:rsidRPr="009A4808">
        <w:t>. Line offices are sized based on the number of publications produced during FY</w:t>
      </w:r>
      <w:r w:rsidR="007B4C36" w:rsidRPr="009A4808">
        <w:t>20</w:t>
      </w:r>
      <w:r w:rsidR="002B6CBB">
        <w:t>21</w:t>
      </w:r>
      <w:r w:rsidRPr="009A4808">
        <w:t>. Line offices are connected if authors from the connected offices co-authored one or more publications during FY</w:t>
      </w:r>
      <w:r w:rsidR="007B4C36" w:rsidRPr="009A4808">
        <w:t>20</w:t>
      </w:r>
      <w:r w:rsidR="002B6CBB">
        <w:t>21</w:t>
      </w:r>
      <w:r w:rsidRPr="009A4808">
        <w:t xml:space="preserve">, with larger and darker connections indicating higher numbers of co-authored publications (connection values range from 1 to </w:t>
      </w:r>
      <w:r w:rsidR="007E3154">
        <w:t>4</w:t>
      </w:r>
      <w:r w:rsidR="00CA3D0C">
        <w:t>3</w:t>
      </w:r>
      <w:r w:rsidR="007E3154">
        <w:t>)</w:t>
      </w:r>
      <w:r w:rsidRPr="009A4808">
        <w:t>.</w:t>
      </w:r>
    </w:p>
    <w:p w:rsidR="003919A1" w:rsidRPr="006345BF" w:rsidRDefault="000E2C4F" w:rsidP="004B411C">
      <w:pPr>
        <w:spacing w:after="360"/>
        <w:rPr>
          <w:rFonts w:asciiTheme="minorHAnsi" w:hAnsiTheme="minorHAnsi" w:cs="Arial"/>
          <w:sz w:val="20"/>
          <w:szCs w:val="20"/>
        </w:rPr>
      </w:pPr>
      <w:r w:rsidRPr="006345BF">
        <w:rPr>
          <w:rFonts w:asciiTheme="minorHAnsi" w:hAnsiTheme="minorHAnsi" w:cs="Arial"/>
          <w:noProof/>
          <w:sz w:val="20"/>
          <w:szCs w:val="20"/>
        </w:rPr>
        <w:drawing>
          <wp:inline distT="0" distB="0" distL="0" distR="0">
            <wp:extent cx="5862563" cy="4520938"/>
            <wp:effectExtent l="19050" t="19050" r="24130" b="1333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 Lab Collab.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62563" cy="4520938"/>
                    </a:xfrm>
                    <a:prstGeom prst="rect">
                      <a:avLst/>
                    </a:prstGeom>
                    <a:noFill/>
                    <a:ln w="19050">
                      <a:solidFill>
                        <a:schemeClr val="accent1"/>
                      </a:solidFill>
                      <a:miter lim="800000"/>
                      <a:headEnd/>
                      <a:tailEnd/>
                    </a:ln>
                  </pic:spPr>
                </pic:pic>
              </a:graphicData>
            </a:graphic>
          </wp:inline>
        </w:drawing>
      </w:r>
    </w:p>
    <w:p w:rsidR="002910E1" w:rsidRPr="00160493" w:rsidRDefault="002910E1" w:rsidP="002910E1">
      <w:r w:rsidRPr="007E3154">
        <w:rPr>
          <w:b/>
        </w:rPr>
        <w:t xml:space="preserve">FIGURE </w:t>
      </w:r>
      <w:r w:rsidR="00073BF2">
        <w:rPr>
          <w:b/>
        </w:rPr>
        <w:t>8</w:t>
      </w:r>
      <w:r w:rsidRPr="007E3154">
        <w:rPr>
          <w:b/>
        </w:rPr>
        <w:t>:</w:t>
      </w:r>
      <w:r w:rsidRPr="007E3154">
        <w:t xml:space="preserve"> Co</w:t>
      </w:r>
      <w:r w:rsidR="008075DC">
        <w:t>llaboration network of NOAA research u</w:t>
      </w:r>
      <w:r w:rsidRPr="007E3154">
        <w:t xml:space="preserve">nits based on co-authored </w:t>
      </w:r>
      <w:r w:rsidR="008075DC">
        <w:t>articles</w:t>
      </w:r>
      <w:r w:rsidRPr="007E3154">
        <w:t xml:space="preserve"> in FY</w:t>
      </w:r>
      <w:r w:rsidR="007B4C36" w:rsidRPr="007E3154">
        <w:t>20</w:t>
      </w:r>
      <w:r w:rsidR="002B6CBB">
        <w:t>21</w:t>
      </w:r>
      <w:r w:rsidRPr="007E3154">
        <w:t xml:space="preserve">. Units are sized based on the number of </w:t>
      </w:r>
      <w:r w:rsidR="008075DC">
        <w:t>articles</w:t>
      </w:r>
      <w:r w:rsidRPr="007E3154">
        <w:t xml:space="preserve"> produced during FY</w:t>
      </w:r>
      <w:r w:rsidR="007B4C36" w:rsidRPr="007E3154">
        <w:t>20</w:t>
      </w:r>
      <w:r w:rsidR="002B6CBB">
        <w:t>21</w:t>
      </w:r>
      <w:r w:rsidR="008075DC">
        <w:t xml:space="preserve"> and colored by l</w:t>
      </w:r>
      <w:r w:rsidRPr="007E3154">
        <w:t xml:space="preserve">ine </w:t>
      </w:r>
      <w:r w:rsidR="008075DC">
        <w:t>o</w:t>
      </w:r>
      <w:r w:rsidRPr="007E3154">
        <w:t>ffice. Units are connected if authors from the connected units co-authored one or more publications during FY</w:t>
      </w:r>
      <w:r w:rsidR="007B4C36" w:rsidRPr="007E3154">
        <w:t>20</w:t>
      </w:r>
      <w:r w:rsidR="002B6CBB">
        <w:t>21</w:t>
      </w:r>
      <w:r w:rsidRPr="007E3154">
        <w:t xml:space="preserve">, with larger and darker connections indicating higher numbers of co-authored </w:t>
      </w:r>
      <w:r w:rsidR="008075DC">
        <w:t>articles</w:t>
      </w:r>
      <w:r w:rsidRPr="007E3154">
        <w:t xml:space="preserve"> (connection values range from 1 to 1</w:t>
      </w:r>
      <w:r w:rsidR="00CA3D0C">
        <w:t>3</w:t>
      </w:r>
      <w:r w:rsidRPr="007E3154">
        <w:t>). For visual clarity, only units that co-a</w:t>
      </w:r>
      <w:r w:rsidR="008075DC">
        <w:t xml:space="preserve">uthored at least </w:t>
      </w:r>
      <w:r w:rsidR="0008571E">
        <w:t>two</w:t>
      </w:r>
      <w:r w:rsidR="008075DC">
        <w:t xml:space="preserve"> article</w:t>
      </w:r>
      <w:r w:rsidR="0008571E">
        <w:t>s</w:t>
      </w:r>
      <w:r w:rsidRPr="007E3154">
        <w:t xml:space="preserve"> with another unit are shown.</w:t>
      </w:r>
    </w:p>
    <w:p w:rsidR="004B411C" w:rsidRPr="006345BF" w:rsidRDefault="004B411C" w:rsidP="004B411C">
      <w:pPr>
        <w:spacing w:after="360"/>
        <w:rPr>
          <w:rFonts w:asciiTheme="minorHAnsi" w:hAnsiTheme="minorHAnsi" w:cs="Arial"/>
          <w:sz w:val="20"/>
          <w:szCs w:val="20"/>
        </w:rPr>
      </w:pPr>
      <w:bookmarkStart w:id="4" w:name="_GoBack"/>
      <w:bookmarkEnd w:id="4"/>
    </w:p>
    <w:p w:rsidR="004B411C" w:rsidRPr="006345BF" w:rsidRDefault="000E2C4F" w:rsidP="007C2A2D">
      <w:pPr>
        <w:spacing w:after="0"/>
        <w:rPr>
          <w:rFonts w:asciiTheme="minorHAnsi" w:hAnsiTheme="minorHAnsi" w:cs="Arial"/>
          <w:sz w:val="20"/>
          <w:szCs w:val="20"/>
        </w:rPr>
      </w:pPr>
      <w:r w:rsidRPr="004A1735">
        <w:rPr>
          <w:rFonts w:asciiTheme="minorHAnsi" w:hAnsiTheme="minorHAnsi" w:cs="Arial"/>
          <w:noProof/>
          <w:color w:val="548DD4" w:themeColor="text2" w:themeTint="99"/>
          <w:sz w:val="20"/>
          <w:szCs w:val="20"/>
        </w:rPr>
        <w:drawing>
          <wp:inline distT="0" distB="0" distL="0" distR="0">
            <wp:extent cx="5886450" cy="3276600"/>
            <wp:effectExtent l="0" t="0" r="0" b="0"/>
            <wp:docPr id="13" name="Chart 7" descr="Top 15 extramural collaborators as measured by the number of peer-reviewed articles co-authored by authors from NOAA and each institution. " title="Fig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81EA2" w:rsidRDefault="00216F6E" w:rsidP="00581EA2">
      <w:pPr>
        <w:spacing w:before="120" w:after="240"/>
      </w:pPr>
      <w:r w:rsidRPr="007C2A2D">
        <w:rPr>
          <w:b/>
        </w:rPr>
        <w:t xml:space="preserve">FIGURE </w:t>
      </w:r>
      <w:r w:rsidR="00073BF2">
        <w:rPr>
          <w:b/>
        </w:rPr>
        <w:t>9</w:t>
      </w:r>
      <w:r w:rsidRPr="007C2A2D">
        <w:rPr>
          <w:b/>
        </w:rPr>
        <w:t>:</w:t>
      </w:r>
      <w:r w:rsidRPr="007C2A2D">
        <w:t xml:space="preserve"> Top 15 extramural collaborators as measured by the number of </w:t>
      </w:r>
      <w:r w:rsidR="007C2A2D">
        <w:t>peer-reviewed articles</w:t>
      </w:r>
      <w:r w:rsidRPr="007C2A2D">
        <w:t xml:space="preserve"> co-authored by authors from NOAA and each institution</w:t>
      </w:r>
      <w:r w:rsidR="00581EA2">
        <w:t>.</w:t>
      </w:r>
    </w:p>
    <w:p w:rsidR="004B411C" w:rsidRDefault="000E2C4F" w:rsidP="00216F6E">
      <w:pPr>
        <w:spacing w:before="100" w:beforeAutospacing="1" w:after="120"/>
        <w:jc w:val="center"/>
      </w:pPr>
      <w:r w:rsidRPr="006345BF">
        <w:rPr>
          <w:rFonts w:asciiTheme="minorHAnsi" w:hAnsiTheme="minorHAnsi" w:cs="Arial"/>
          <w:noProof/>
          <w:color w:val="365F91" w:themeColor="accent1" w:themeShade="BF"/>
        </w:rPr>
        <w:drawing>
          <wp:inline distT="0" distB="0" distL="0" distR="0">
            <wp:extent cx="5782108" cy="3528204"/>
            <wp:effectExtent l="19050" t="19050" r="28575" b="1524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Y2014 countries.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806" b="7227"/>
                    <a:stretch/>
                  </pic:blipFill>
                  <pic:spPr bwMode="auto">
                    <a:xfrm>
                      <a:off x="0" y="0"/>
                      <a:ext cx="5796350" cy="3536894"/>
                    </a:xfrm>
                    <a:prstGeom prst="rect">
                      <a:avLst/>
                    </a:prstGeom>
                    <a:noFill/>
                    <a:ln w="19050" cap="flat" cmpd="sng" algn="ctr">
                      <a:solidFill>
                        <a:srgbClr val="558ED5"/>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216F6E" w:rsidRPr="00160493" w:rsidRDefault="00216F6E" w:rsidP="002B6332">
      <w:pPr>
        <w:spacing w:before="120" w:after="0"/>
      </w:pPr>
      <w:r w:rsidRPr="00690A58">
        <w:rPr>
          <w:rFonts w:cs="Arial"/>
          <w:b/>
        </w:rPr>
        <w:t xml:space="preserve">FIGURE </w:t>
      </w:r>
      <w:r w:rsidR="000C32D7">
        <w:rPr>
          <w:rFonts w:cs="Arial"/>
          <w:b/>
        </w:rPr>
        <w:t>1</w:t>
      </w:r>
      <w:r w:rsidR="00073BF2">
        <w:rPr>
          <w:rFonts w:cs="Arial"/>
          <w:b/>
        </w:rPr>
        <w:t>0</w:t>
      </w:r>
      <w:r w:rsidRPr="00690A58">
        <w:rPr>
          <w:rFonts w:cs="Arial"/>
          <w:b/>
        </w:rPr>
        <w:t>:</w:t>
      </w:r>
      <w:r w:rsidRPr="00690A58">
        <w:rPr>
          <w:rFonts w:cs="Arial"/>
        </w:rPr>
        <w:t xml:space="preserve"> Geographic map showing NOAA’s international collaboration as measured by the number of </w:t>
      </w:r>
      <w:r w:rsidR="008075DC">
        <w:rPr>
          <w:rFonts w:cs="Arial"/>
        </w:rPr>
        <w:t>articles</w:t>
      </w:r>
      <w:r w:rsidRPr="00690A58">
        <w:rPr>
          <w:rFonts w:cs="Arial"/>
        </w:rPr>
        <w:t xml:space="preserve"> co-authored by authors with institutional affiliations in countries outside the US.</w:t>
      </w:r>
      <w:r w:rsidRPr="00160493">
        <w:rPr>
          <w:rFonts w:cs="Arial"/>
        </w:rPr>
        <w:t xml:space="preserve"> </w:t>
      </w:r>
    </w:p>
    <w:p w:rsidR="007D5A63" w:rsidRDefault="007D5A63">
      <w:pPr>
        <w:rPr>
          <w:rFonts w:asciiTheme="minorHAnsi" w:hAnsiTheme="minorHAnsi"/>
        </w:rPr>
      </w:pPr>
    </w:p>
    <w:p w:rsidR="00A01750" w:rsidRDefault="00A01750" w:rsidP="002B6332">
      <w:pPr>
        <w:pStyle w:val="Heading2"/>
      </w:pPr>
      <w:bookmarkStart w:id="5" w:name="_Toc2930331"/>
      <w:r>
        <w:t>P</w:t>
      </w:r>
      <w:r w:rsidR="002B6332">
        <w:t>ublication Trends</w:t>
      </w:r>
      <w:bookmarkEnd w:id="5"/>
    </w:p>
    <w:p w:rsidR="00A01750" w:rsidRDefault="00A01750" w:rsidP="00BD0667">
      <w:pPr>
        <w:pStyle w:val="NoSpacing"/>
        <w:jc w:val="center"/>
        <w:rPr>
          <w:color w:val="365F91" w:themeColor="accent1" w:themeShade="BF"/>
        </w:rPr>
      </w:pPr>
      <w:r w:rsidRPr="00573AAB">
        <w:rPr>
          <w:noProof/>
        </w:rPr>
        <w:drawing>
          <wp:inline distT="0" distB="0" distL="0" distR="0" wp14:anchorId="05D950EB" wp14:editId="7D020389">
            <wp:extent cx="5857875" cy="3057525"/>
            <wp:effectExtent l="0" t="0" r="9525" b="9525"/>
            <wp:docPr id="3" name="Chart 13" descr="Non-cumulative number of articles by NOAA-affiliated authors per quarter. There were 1,816 articles published in FY2012, 1,913 in FY2013, 1,989 in FY2014, 2,028 in FY2015, 2,066 in FY2016, and 2,096 in FY2017" title="Figur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01750" w:rsidRDefault="00A01750" w:rsidP="00BD0667">
      <w:pPr>
        <w:spacing w:before="120" w:after="120"/>
        <w:rPr>
          <w:rFonts w:cs="Arial"/>
        </w:rPr>
      </w:pPr>
      <w:r w:rsidRPr="00AA08D9">
        <w:rPr>
          <w:rFonts w:cs="Arial"/>
          <w:b/>
        </w:rPr>
        <w:t xml:space="preserve">FIGURE </w:t>
      </w:r>
      <w:r w:rsidR="007E3154">
        <w:rPr>
          <w:rFonts w:cs="Arial"/>
          <w:b/>
        </w:rPr>
        <w:t>1</w:t>
      </w:r>
      <w:r w:rsidR="00073BF2">
        <w:rPr>
          <w:rFonts w:cs="Arial"/>
          <w:b/>
        </w:rPr>
        <w:t>1</w:t>
      </w:r>
      <w:r w:rsidRPr="00AA08D9">
        <w:rPr>
          <w:rFonts w:cs="Arial"/>
          <w:b/>
        </w:rPr>
        <w:t xml:space="preserve">: </w:t>
      </w:r>
      <w:r w:rsidRPr="00AA08D9">
        <w:rPr>
          <w:rFonts w:cs="Arial"/>
        </w:rPr>
        <w:t xml:space="preserve">Non-cumulative number of </w:t>
      </w:r>
      <w:r w:rsidR="000D1EF0" w:rsidRPr="00AA08D9">
        <w:rPr>
          <w:rFonts w:cs="Arial"/>
        </w:rPr>
        <w:t>articles</w:t>
      </w:r>
      <w:r w:rsidRPr="00AA08D9">
        <w:rPr>
          <w:rFonts w:cs="Arial"/>
        </w:rPr>
        <w:t xml:space="preserve"> by NOAA-affiliated authors per quarter. There were 1,816 articles published </w:t>
      </w:r>
      <w:r w:rsidR="000D1EF0" w:rsidRPr="00AA08D9">
        <w:rPr>
          <w:rFonts w:cs="Arial"/>
        </w:rPr>
        <w:t>in</w:t>
      </w:r>
      <w:r w:rsidRPr="00AA08D9">
        <w:rPr>
          <w:rFonts w:cs="Arial"/>
        </w:rPr>
        <w:t xml:space="preserve"> F</w:t>
      </w:r>
      <w:r w:rsidR="001C247D" w:rsidRPr="00AA08D9">
        <w:rPr>
          <w:rFonts w:cs="Arial"/>
        </w:rPr>
        <w:t xml:space="preserve">Y2012, 1,913 </w:t>
      </w:r>
      <w:r w:rsidR="000D1EF0" w:rsidRPr="00AA08D9">
        <w:rPr>
          <w:rFonts w:cs="Arial"/>
        </w:rPr>
        <w:t xml:space="preserve">in </w:t>
      </w:r>
      <w:r w:rsidR="001C247D" w:rsidRPr="00AA08D9">
        <w:rPr>
          <w:rFonts w:cs="Arial"/>
        </w:rPr>
        <w:t>FY2013,</w:t>
      </w:r>
      <w:r w:rsidRPr="00AA08D9">
        <w:rPr>
          <w:rFonts w:cs="Arial"/>
        </w:rPr>
        <w:t xml:space="preserve"> 1,989 </w:t>
      </w:r>
      <w:r w:rsidR="000D1EF0" w:rsidRPr="00AA08D9">
        <w:rPr>
          <w:rFonts w:cs="Arial"/>
        </w:rPr>
        <w:t>in</w:t>
      </w:r>
      <w:r w:rsidRPr="00AA08D9">
        <w:rPr>
          <w:rFonts w:cs="Arial"/>
        </w:rPr>
        <w:t xml:space="preserve"> FY2014</w:t>
      </w:r>
      <w:r w:rsidR="001C247D" w:rsidRPr="00AA08D9">
        <w:rPr>
          <w:rFonts w:cs="Arial"/>
        </w:rPr>
        <w:t xml:space="preserve">, 2,028 </w:t>
      </w:r>
      <w:r w:rsidR="000D1EF0" w:rsidRPr="00AA08D9">
        <w:rPr>
          <w:rFonts w:cs="Arial"/>
        </w:rPr>
        <w:t>in</w:t>
      </w:r>
      <w:r w:rsidR="001C247D" w:rsidRPr="00AA08D9">
        <w:rPr>
          <w:rFonts w:cs="Arial"/>
        </w:rPr>
        <w:t xml:space="preserve"> FY2015</w:t>
      </w:r>
      <w:r w:rsidR="005F7410" w:rsidRPr="00AA08D9">
        <w:rPr>
          <w:rFonts w:cs="Arial"/>
        </w:rPr>
        <w:t xml:space="preserve">, </w:t>
      </w:r>
      <w:r w:rsidR="00FB1A2E">
        <w:rPr>
          <w:rFonts w:cs="Arial"/>
        </w:rPr>
        <w:t>2,066 in FY2016,</w:t>
      </w:r>
      <w:r w:rsidR="000D1EF0" w:rsidRPr="00AA08D9">
        <w:rPr>
          <w:rFonts w:cs="Arial"/>
        </w:rPr>
        <w:t xml:space="preserve"> 2,096 in FY2017</w:t>
      </w:r>
      <w:r w:rsidR="00FB1A2E">
        <w:rPr>
          <w:rFonts w:cs="Arial"/>
        </w:rPr>
        <w:t>, and 1,936 in FY2018</w:t>
      </w:r>
      <w:r w:rsidR="00107ADA">
        <w:rPr>
          <w:rFonts w:cs="Arial"/>
        </w:rPr>
        <w:t>.</w:t>
      </w:r>
    </w:p>
    <w:p w:rsidR="00BD0667" w:rsidRDefault="00BD0667" w:rsidP="00BD0667">
      <w:pPr>
        <w:spacing w:before="120" w:after="120"/>
        <w:rPr>
          <w:rFonts w:cs="Arial"/>
        </w:rPr>
      </w:pPr>
    </w:p>
    <w:p w:rsidR="00A01750" w:rsidRDefault="00A01750" w:rsidP="00BD0667">
      <w:pPr>
        <w:pStyle w:val="NoSpacing"/>
        <w:jc w:val="center"/>
      </w:pPr>
      <w:r>
        <w:rPr>
          <w:noProof/>
        </w:rPr>
        <w:drawing>
          <wp:inline distT="0" distB="0" distL="0" distR="0" wp14:anchorId="641813AA" wp14:editId="0AB75919">
            <wp:extent cx="5486400" cy="2847975"/>
            <wp:effectExtent l="0" t="0" r="0" b="9525"/>
            <wp:docPr id="4" name="Chart 15" descr="Non-cumulative number of peer-reviewed articles by NOAA-affiliated authors per year per line office." title="Figur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3154" w:rsidRPr="007E3154" w:rsidRDefault="00A01750" w:rsidP="00BD0667">
      <w:pPr>
        <w:spacing w:before="120" w:after="120"/>
        <w:rPr>
          <w:rFonts w:cs="Arial"/>
        </w:rPr>
      </w:pPr>
      <w:r w:rsidRPr="00AA08D9">
        <w:rPr>
          <w:rFonts w:cs="Arial"/>
          <w:b/>
        </w:rPr>
        <w:t xml:space="preserve">FIGURE </w:t>
      </w:r>
      <w:r w:rsidR="007E3154">
        <w:rPr>
          <w:rFonts w:cs="Arial"/>
          <w:b/>
        </w:rPr>
        <w:t>1</w:t>
      </w:r>
      <w:r w:rsidR="00073BF2">
        <w:rPr>
          <w:rFonts w:cs="Arial"/>
          <w:b/>
        </w:rPr>
        <w:t>2</w:t>
      </w:r>
      <w:r w:rsidRPr="00AA08D9">
        <w:rPr>
          <w:rFonts w:cs="Arial"/>
          <w:b/>
        </w:rPr>
        <w:t xml:space="preserve">: </w:t>
      </w:r>
      <w:r w:rsidRPr="00AA08D9">
        <w:rPr>
          <w:rFonts w:cs="Arial"/>
        </w:rPr>
        <w:t xml:space="preserve">Non-cumulative number of </w:t>
      </w:r>
      <w:r w:rsidR="00AA08D9" w:rsidRPr="00AA08D9">
        <w:rPr>
          <w:rFonts w:cs="Arial"/>
        </w:rPr>
        <w:t>peer-reviewed articles</w:t>
      </w:r>
      <w:r w:rsidRPr="00AA08D9">
        <w:rPr>
          <w:rFonts w:cs="Arial"/>
        </w:rPr>
        <w:t xml:space="preserve"> by NOAA-affiliated authors per year per line office. A single publication with authors from more than one line office is counted as one publication for each line office.</w:t>
      </w:r>
    </w:p>
    <w:sectPr w:rsidR="007E3154" w:rsidRPr="007E3154" w:rsidSect="000E2C4F">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AA0" w:rsidRDefault="00CE5AA0">
      <w:pPr>
        <w:spacing w:after="0" w:line="240" w:lineRule="auto"/>
      </w:pPr>
      <w:r>
        <w:separator/>
      </w:r>
    </w:p>
  </w:endnote>
  <w:endnote w:type="continuationSeparator" w:id="0">
    <w:p w:rsidR="00CE5AA0" w:rsidRDefault="00CE5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AA0" w:rsidRPr="000331CB" w:rsidRDefault="000C32D7">
    <w:pPr>
      <w:pStyle w:val="Footer"/>
      <w:rPr>
        <w:rFonts w:ascii="Arial" w:hAnsi="Arial" w:cs="Arial"/>
        <w:color w:val="365F91" w:themeColor="accent1" w:themeShade="BF"/>
      </w:rPr>
    </w:pPr>
    <w:r>
      <w:rPr>
        <w:rFonts w:ascii="Arial" w:hAnsi="Arial" w:cs="Arial"/>
        <w:color w:val="365F91" w:themeColor="accent1" w:themeShade="BF"/>
      </w:rPr>
      <w:t>March</w:t>
    </w:r>
    <w:r w:rsidR="00C244E3">
      <w:rPr>
        <w:rFonts w:ascii="Arial" w:hAnsi="Arial" w:cs="Arial"/>
        <w:color w:val="365F91" w:themeColor="accent1" w:themeShade="BF"/>
      </w:rPr>
      <w:t xml:space="preserve"> 20</w:t>
    </w:r>
    <w:r w:rsidR="005770DD">
      <w:rPr>
        <w:rFonts w:ascii="Arial" w:hAnsi="Arial" w:cs="Arial"/>
        <w:color w:val="365F91" w:themeColor="accent1" w:themeShade="BF"/>
      </w:rPr>
      <w:t>22</w:t>
    </w:r>
    <w:r w:rsidR="00CE5AA0" w:rsidRPr="000331CB">
      <w:rPr>
        <w:rFonts w:ascii="Arial" w:hAnsi="Arial" w:cs="Arial"/>
        <w:color w:val="365F91" w:themeColor="accent1" w:themeShade="BF"/>
      </w:rPr>
      <w:tab/>
    </w:r>
    <w:r w:rsidR="00CE5AA0" w:rsidRPr="000331CB">
      <w:rPr>
        <w:rFonts w:ascii="Arial" w:hAnsi="Arial" w:cs="Arial"/>
        <w:color w:val="365F91" w:themeColor="accent1" w:themeShade="BF"/>
      </w:rPr>
      <w:tab/>
      <w:t>NOAA Central Library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AA0" w:rsidRDefault="00CE5AA0">
      <w:pPr>
        <w:spacing w:after="0" w:line="240" w:lineRule="auto"/>
      </w:pPr>
      <w:r>
        <w:separator/>
      </w:r>
    </w:p>
  </w:footnote>
  <w:footnote w:type="continuationSeparator" w:id="0">
    <w:p w:rsidR="00CE5AA0" w:rsidRDefault="00CE5A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9124"/>
      <w:gridCol w:w="236"/>
    </w:tblGrid>
    <w:tr w:rsidR="00CE5AA0" w:rsidRPr="009A103A" w:rsidTr="000E2C4F">
      <w:trPr>
        <w:trHeight w:val="1080"/>
      </w:trPr>
      <w:tc>
        <w:tcPr>
          <w:tcW w:w="4877" w:type="pct"/>
          <w:tcBorders>
            <w:right w:val="triple" w:sz="4" w:space="0" w:color="4F81BD" w:themeColor="accent1"/>
          </w:tcBorders>
          <w:vAlign w:val="bottom"/>
        </w:tcPr>
        <w:p w:rsidR="00CE5AA0" w:rsidRPr="009A103A" w:rsidRDefault="00CE5AA0" w:rsidP="000E2C4F">
          <w:pPr>
            <w:pStyle w:val="NoSpacing"/>
            <w:ind w:firstLine="720"/>
            <w:jc w:val="right"/>
            <w:rPr>
              <w:rFonts w:asciiTheme="majorHAnsi" w:eastAsiaTheme="minorEastAsia" w:hAnsiTheme="majorHAnsi" w:cstheme="minorBidi"/>
              <w:sz w:val="20"/>
              <w:szCs w:val="20"/>
            </w:rPr>
          </w:pPr>
          <w:r w:rsidRPr="009A103A">
            <w:rPr>
              <w:rFonts w:ascii="Arial" w:eastAsiaTheme="minorEastAsia" w:hAnsi="Arial" w:cs="Arial"/>
            </w:rPr>
            <w:fldChar w:fldCharType="begin"/>
          </w:r>
          <w:r w:rsidRPr="009A103A">
            <w:rPr>
              <w:rFonts w:ascii="Arial" w:eastAsiaTheme="minorEastAsia" w:hAnsi="Arial" w:cs="Arial"/>
            </w:rPr>
            <w:instrText xml:space="preserve"> PAGE    \* MERGEFORMAT </w:instrText>
          </w:r>
          <w:r w:rsidRPr="009A103A">
            <w:rPr>
              <w:rFonts w:ascii="Arial" w:eastAsiaTheme="minorEastAsia" w:hAnsi="Arial" w:cs="Arial"/>
            </w:rPr>
            <w:fldChar w:fldCharType="separate"/>
          </w:r>
          <w:r w:rsidR="002B6CBB">
            <w:rPr>
              <w:rFonts w:ascii="Arial" w:eastAsiaTheme="minorEastAsia" w:hAnsi="Arial" w:cs="Arial"/>
              <w:noProof/>
            </w:rPr>
            <w:t>12</w:t>
          </w:r>
          <w:r w:rsidRPr="009A103A">
            <w:rPr>
              <w:rFonts w:ascii="Arial" w:eastAsiaTheme="minorEastAsia" w:hAnsi="Arial" w:cs="Arial"/>
            </w:rPr>
            <w:fldChar w:fldCharType="end"/>
          </w:r>
        </w:p>
      </w:tc>
      <w:tc>
        <w:tcPr>
          <w:tcW w:w="123" w:type="pct"/>
          <w:tcBorders>
            <w:left w:val="triple" w:sz="4" w:space="0" w:color="4F81BD" w:themeColor="accent1"/>
          </w:tcBorders>
          <w:vAlign w:val="bottom"/>
        </w:tcPr>
        <w:p w:rsidR="00CE5AA0" w:rsidRDefault="00CE5AA0">
          <w:pPr>
            <w:pStyle w:val="NoSpacing"/>
            <w:rPr>
              <w:rFonts w:asciiTheme="majorHAnsi" w:eastAsiaTheme="majorEastAsia" w:hAnsiTheme="majorHAnsi" w:cstheme="majorBidi"/>
              <w:sz w:val="28"/>
              <w:szCs w:val="28"/>
            </w:rPr>
          </w:pPr>
        </w:p>
      </w:tc>
    </w:tr>
  </w:tbl>
  <w:p w:rsidR="00CE5AA0" w:rsidRDefault="00CE5A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1C"/>
    <w:rsid w:val="00070E74"/>
    <w:rsid w:val="00073BF2"/>
    <w:rsid w:val="0008571E"/>
    <w:rsid w:val="00091089"/>
    <w:rsid w:val="0009461A"/>
    <w:rsid w:val="00094A71"/>
    <w:rsid w:val="000A59DB"/>
    <w:rsid w:val="000C32D7"/>
    <w:rsid w:val="000D1EF0"/>
    <w:rsid w:val="000E1EC9"/>
    <w:rsid w:val="000E2C4F"/>
    <w:rsid w:val="001075CB"/>
    <w:rsid w:val="00107ADA"/>
    <w:rsid w:val="00137361"/>
    <w:rsid w:val="00157B6D"/>
    <w:rsid w:val="001A7F34"/>
    <w:rsid w:val="001C247D"/>
    <w:rsid w:val="00216F6E"/>
    <w:rsid w:val="002357E5"/>
    <w:rsid w:val="002523FF"/>
    <w:rsid w:val="002910E1"/>
    <w:rsid w:val="002B6332"/>
    <w:rsid w:val="002B6CBB"/>
    <w:rsid w:val="002C6497"/>
    <w:rsid w:val="002C755E"/>
    <w:rsid w:val="002E37D5"/>
    <w:rsid w:val="002F362D"/>
    <w:rsid w:val="0030575B"/>
    <w:rsid w:val="0033038F"/>
    <w:rsid w:val="003558E6"/>
    <w:rsid w:val="00373A69"/>
    <w:rsid w:val="003919A1"/>
    <w:rsid w:val="003D5DCC"/>
    <w:rsid w:val="003E4CA0"/>
    <w:rsid w:val="003F6A37"/>
    <w:rsid w:val="004027A7"/>
    <w:rsid w:val="00406A3F"/>
    <w:rsid w:val="00425F9C"/>
    <w:rsid w:val="00441B09"/>
    <w:rsid w:val="004A1735"/>
    <w:rsid w:val="004B142D"/>
    <w:rsid w:val="004B411C"/>
    <w:rsid w:val="004E781A"/>
    <w:rsid w:val="00501018"/>
    <w:rsid w:val="00573889"/>
    <w:rsid w:val="005770DD"/>
    <w:rsid w:val="00577723"/>
    <w:rsid w:val="00581EA2"/>
    <w:rsid w:val="005E6A5D"/>
    <w:rsid w:val="005F49D6"/>
    <w:rsid w:val="005F7410"/>
    <w:rsid w:val="00605DB8"/>
    <w:rsid w:val="00621645"/>
    <w:rsid w:val="006345BF"/>
    <w:rsid w:val="00642AC2"/>
    <w:rsid w:val="006654A2"/>
    <w:rsid w:val="00682C80"/>
    <w:rsid w:val="00690A58"/>
    <w:rsid w:val="006B7A66"/>
    <w:rsid w:val="007026D7"/>
    <w:rsid w:val="00710E6C"/>
    <w:rsid w:val="007606E0"/>
    <w:rsid w:val="00785F3A"/>
    <w:rsid w:val="007A19FF"/>
    <w:rsid w:val="007B4C36"/>
    <w:rsid w:val="007C2A2D"/>
    <w:rsid w:val="007D5A63"/>
    <w:rsid w:val="007E3154"/>
    <w:rsid w:val="007F6F26"/>
    <w:rsid w:val="00805073"/>
    <w:rsid w:val="008075DC"/>
    <w:rsid w:val="0083600E"/>
    <w:rsid w:val="008D5D44"/>
    <w:rsid w:val="00913A9C"/>
    <w:rsid w:val="0093135B"/>
    <w:rsid w:val="009A103A"/>
    <w:rsid w:val="009A4808"/>
    <w:rsid w:val="009A7191"/>
    <w:rsid w:val="009B1380"/>
    <w:rsid w:val="00A01750"/>
    <w:rsid w:val="00A110BD"/>
    <w:rsid w:val="00A2303C"/>
    <w:rsid w:val="00A35622"/>
    <w:rsid w:val="00A44DD3"/>
    <w:rsid w:val="00A805F3"/>
    <w:rsid w:val="00A80730"/>
    <w:rsid w:val="00AA08D9"/>
    <w:rsid w:val="00AA674A"/>
    <w:rsid w:val="00AC1621"/>
    <w:rsid w:val="00B61062"/>
    <w:rsid w:val="00B7265E"/>
    <w:rsid w:val="00B82D32"/>
    <w:rsid w:val="00BD0667"/>
    <w:rsid w:val="00BD1BF8"/>
    <w:rsid w:val="00BE6796"/>
    <w:rsid w:val="00C06CA5"/>
    <w:rsid w:val="00C244E3"/>
    <w:rsid w:val="00C50C18"/>
    <w:rsid w:val="00C854D7"/>
    <w:rsid w:val="00CA2CD8"/>
    <w:rsid w:val="00CA3D0C"/>
    <w:rsid w:val="00CD3DE2"/>
    <w:rsid w:val="00CE5AA0"/>
    <w:rsid w:val="00CE76EA"/>
    <w:rsid w:val="00D246CD"/>
    <w:rsid w:val="00D66113"/>
    <w:rsid w:val="00D70B36"/>
    <w:rsid w:val="00DF6ABA"/>
    <w:rsid w:val="00E30734"/>
    <w:rsid w:val="00E30A4A"/>
    <w:rsid w:val="00E3221D"/>
    <w:rsid w:val="00E347B0"/>
    <w:rsid w:val="00E46DFC"/>
    <w:rsid w:val="00E563F4"/>
    <w:rsid w:val="00E73850"/>
    <w:rsid w:val="00EA338D"/>
    <w:rsid w:val="00EA40E3"/>
    <w:rsid w:val="00EA4276"/>
    <w:rsid w:val="00EC1A30"/>
    <w:rsid w:val="00EE701B"/>
    <w:rsid w:val="00EF5A05"/>
    <w:rsid w:val="00F118AF"/>
    <w:rsid w:val="00F63AD2"/>
    <w:rsid w:val="00F70330"/>
    <w:rsid w:val="00F754B5"/>
    <w:rsid w:val="00F8176C"/>
    <w:rsid w:val="00FB1A2E"/>
    <w:rsid w:val="00FF0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D0C84"/>
  <w15:docId w15:val="{1321565B-CCC3-4F55-AEF9-67454F5E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11C"/>
    <w:pPr>
      <w:spacing w:after="200" w:line="276" w:lineRule="auto"/>
    </w:pPr>
    <w:rPr>
      <w:sz w:val="22"/>
      <w:szCs w:val="22"/>
    </w:rPr>
  </w:style>
  <w:style w:type="paragraph" w:styleId="Heading1">
    <w:name w:val="heading 1"/>
    <w:basedOn w:val="Normal"/>
    <w:next w:val="Normal"/>
    <w:link w:val="Heading1Char"/>
    <w:uiPriority w:val="9"/>
    <w:qFormat/>
    <w:rsid w:val="00BD0667"/>
    <w:pPr>
      <w:keepNext/>
      <w:keepLines/>
      <w:spacing w:before="120" w:after="12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6332"/>
    <w:pPr>
      <w:keepNext/>
      <w:keepLines/>
      <w:spacing w:before="40" w:after="240"/>
      <w:outlineLvl w:val="1"/>
    </w:pPr>
    <w:rPr>
      <w:rFonts w:asciiTheme="minorHAnsi" w:eastAsiaTheme="majorEastAsia" w:hAnsiTheme="minorHAnsi" w:cstheme="majorBidi"/>
      <w:b/>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11C"/>
  </w:style>
  <w:style w:type="paragraph" w:styleId="Footer">
    <w:name w:val="footer"/>
    <w:basedOn w:val="Normal"/>
    <w:link w:val="FooterChar"/>
    <w:uiPriority w:val="99"/>
    <w:unhideWhenUsed/>
    <w:rsid w:val="004B4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11C"/>
  </w:style>
  <w:style w:type="paragraph" w:styleId="NoSpacing">
    <w:name w:val="No Spacing"/>
    <w:link w:val="NoSpacingChar"/>
    <w:uiPriority w:val="1"/>
    <w:qFormat/>
    <w:rsid w:val="004B411C"/>
    <w:rPr>
      <w:rFonts w:eastAsia="Times New Roman"/>
      <w:sz w:val="22"/>
      <w:szCs w:val="22"/>
    </w:rPr>
  </w:style>
  <w:style w:type="character" w:customStyle="1" w:styleId="NoSpacingChar">
    <w:name w:val="No Spacing Char"/>
    <w:basedOn w:val="DefaultParagraphFont"/>
    <w:link w:val="NoSpacing"/>
    <w:uiPriority w:val="1"/>
    <w:rsid w:val="004B411C"/>
    <w:rPr>
      <w:rFonts w:eastAsia="Times New Roman"/>
      <w:sz w:val="22"/>
      <w:szCs w:val="22"/>
      <w:lang w:val="en-US" w:eastAsia="en-US" w:bidi="ar-SA"/>
    </w:rPr>
  </w:style>
  <w:style w:type="character" w:styleId="Hyperlink">
    <w:name w:val="Hyperlink"/>
    <w:basedOn w:val="DefaultParagraphFont"/>
    <w:uiPriority w:val="99"/>
    <w:unhideWhenUsed/>
    <w:rsid w:val="004B411C"/>
    <w:rPr>
      <w:color w:val="0000FF"/>
      <w:u w:val="single"/>
    </w:rPr>
  </w:style>
  <w:style w:type="table" w:customStyle="1" w:styleId="LightShading-Accent11">
    <w:name w:val="Light Shading - Accent 11"/>
    <w:basedOn w:val="TableNormal"/>
    <w:uiPriority w:val="60"/>
    <w:rsid w:val="004B411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link w:val="BalloonTextChar"/>
    <w:uiPriority w:val="99"/>
    <w:semiHidden/>
    <w:unhideWhenUsed/>
    <w:rsid w:val="004B4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11C"/>
    <w:rPr>
      <w:rFonts w:ascii="Tahoma" w:hAnsi="Tahoma" w:cs="Tahoma"/>
      <w:sz w:val="16"/>
      <w:szCs w:val="16"/>
    </w:rPr>
  </w:style>
  <w:style w:type="character" w:customStyle="1" w:styleId="Heading1Char">
    <w:name w:val="Heading 1 Char"/>
    <w:basedOn w:val="DefaultParagraphFont"/>
    <w:link w:val="Heading1"/>
    <w:uiPriority w:val="9"/>
    <w:rsid w:val="00BD0667"/>
    <w:rPr>
      <w:rFonts w:eastAsiaTheme="majorEastAsia"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D0667"/>
    <w:pPr>
      <w:spacing w:before="480" w:after="0"/>
      <w:outlineLvl w:val="9"/>
    </w:pPr>
    <w:rPr>
      <w:rFonts w:asciiTheme="majorHAnsi" w:hAnsiTheme="majorHAnsi"/>
      <w:lang w:eastAsia="ja-JP"/>
    </w:rPr>
  </w:style>
  <w:style w:type="paragraph" w:styleId="TOC1">
    <w:name w:val="toc 1"/>
    <w:basedOn w:val="Normal"/>
    <w:next w:val="Normal"/>
    <w:autoRedefine/>
    <w:uiPriority w:val="39"/>
    <w:unhideWhenUsed/>
    <w:rsid w:val="00BD0667"/>
    <w:pPr>
      <w:spacing w:after="100"/>
    </w:pPr>
  </w:style>
  <w:style w:type="character" w:customStyle="1" w:styleId="Heading2Char">
    <w:name w:val="Heading 2 Char"/>
    <w:basedOn w:val="DefaultParagraphFont"/>
    <w:link w:val="Heading2"/>
    <w:uiPriority w:val="9"/>
    <w:rsid w:val="002B6332"/>
    <w:rPr>
      <w:rFonts w:asciiTheme="minorHAnsi" w:eastAsiaTheme="majorEastAsia" w:hAnsiTheme="minorHAnsi" w:cstheme="majorBidi"/>
      <w:b/>
      <w:color w:val="365F91" w:themeColor="accent1" w:themeShade="BF"/>
      <w:sz w:val="26"/>
      <w:szCs w:val="26"/>
    </w:rPr>
  </w:style>
  <w:style w:type="paragraph" w:styleId="TOC2">
    <w:name w:val="toc 2"/>
    <w:basedOn w:val="Normal"/>
    <w:next w:val="Normal"/>
    <w:autoRedefine/>
    <w:uiPriority w:val="39"/>
    <w:unhideWhenUsed/>
    <w:rsid w:val="002B633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8.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hyperlink" Target="mailto:Sarah.Davis@noaa.gov" TargetMode="External"/><Relationship Id="rId14" Type="http://schemas.openxmlformats.org/officeDocument/2006/relationships/chart" Target="charts/chart4.xml"/><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solidFill>
                  <a:schemeClr val="tx2"/>
                </a:solidFill>
              </a:rPr>
              <a:t>Articles</a:t>
            </a:r>
            <a:r>
              <a:rPr lang="en-US" sz="1400" baseline="0">
                <a:solidFill>
                  <a:schemeClr val="tx2"/>
                </a:solidFill>
              </a:rPr>
              <a:t> per Quarter</a:t>
            </a:r>
            <a:endParaRPr lang="en-US" sz="1400">
              <a:solidFill>
                <a:schemeClr val="tx2"/>
              </a:solidFill>
            </a:endParaRPr>
          </a:p>
        </c:rich>
      </c:tx>
      <c:layout>
        <c:manualLayout>
          <c:xMode val="edge"/>
          <c:yMode val="edge"/>
          <c:x val="1.3876889020939235E-2"/>
          <c:y val="1.912660810332327E-2"/>
        </c:manualLayout>
      </c:layout>
      <c:overlay val="0"/>
    </c:title>
    <c:autoTitleDeleted val="0"/>
    <c:plotArea>
      <c:layout/>
      <c:barChart>
        <c:barDir val="col"/>
        <c:grouping val="stacked"/>
        <c:varyColors val="0"/>
        <c:ser>
          <c:idx val="0"/>
          <c:order val="0"/>
          <c:tx>
            <c:strRef>
              <c:f>Sheet1!$B$1</c:f>
              <c:strCache>
                <c:ptCount val="1"/>
                <c:pt idx="0">
                  <c:v>NOAA Authored Articles</c:v>
                </c:pt>
              </c:strCache>
            </c:strRef>
          </c:tx>
          <c:spPr>
            <a:solidFill>
              <a:srgbClr val="4F81BD"/>
            </a:solidFill>
          </c:spPr>
          <c:invertIfNegative val="0"/>
          <c:dLbls>
            <c:spPr>
              <a:noFill/>
              <a:ln>
                <a:noFill/>
              </a:ln>
              <a:effectLst/>
            </c:spPr>
            <c:txPr>
              <a:bodyPr/>
              <a:lstStyle/>
              <a:p>
                <a:pPr>
                  <a:defRPr sz="11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Quarter 1</c:v>
                </c:pt>
                <c:pt idx="1">
                  <c:v>Quarter 2</c:v>
                </c:pt>
                <c:pt idx="2">
                  <c:v>Quarter 3</c:v>
                </c:pt>
                <c:pt idx="3">
                  <c:v>Quarter 4</c:v>
                </c:pt>
              </c:strCache>
            </c:strRef>
          </c:cat>
          <c:val>
            <c:numRef>
              <c:f>Sheet1!$B$2:$B$5</c:f>
              <c:numCache>
                <c:formatCode>General</c:formatCode>
                <c:ptCount val="4"/>
                <c:pt idx="0">
                  <c:v>557</c:v>
                </c:pt>
                <c:pt idx="1">
                  <c:v>591</c:v>
                </c:pt>
                <c:pt idx="2">
                  <c:v>551</c:v>
                </c:pt>
                <c:pt idx="3">
                  <c:v>553</c:v>
                </c:pt>
              </c:numCache>
            </c:numRef>
          </c:val>
          <c:extLst>
            <c:ext xmlns:c16="http://schemas.microsoft.com/office/drawing/2014/chart" uri="{C3380CC4-5D6E-409C-BE32-E72D297353CC}">
              <c16:uniqueId val="{00000000-B359-48AA-87EA-E85A02139420}"/>
            </c:ext>
          </c:extLst>
        </c:ser>
        <c:ser>
          <c:idx val="1"/>
          <c:order val="1"/>
          <c:tx>
            <c:strRef>
              <c:f>Sheet1!$C$1</c:f>
              <c:strCache>
                <c:ptCount val="1"/>
                <c:pt idx="0">
                  <c:v>NOAA Funded Articles</c:v>
                </c:pt>
              </c:strCache>
            </c:strRef>
          </c:tx>
          <c:spPr>
            <a:solidFill>
              <a:srgbClr val="4BACC6"/>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Sheet1!$A$2:$A$5</c:f>
              <c:strCache>
                <c:ptCount val="4"/>
                <c:pt idx="0">
                  <c:v>Quarter 1</c:v>
                </c:pt>
                <c:pt idx="1">
                  <c:v>Quarter 2</c:v>
                </c:pt>
                <c:pt idx="2">
                  <c:v>Quarter 3</c:v>
                </c:pt>
                <c:pt idx="3">
                  <c:v>Quarter 4</c:v>
                </c:pt>
              </c:strCache>
            </c:strRef>
          </c:cat>
          <c:val>
            <c:numRef>
              <c:f>Sheet1!$C$2:$C$5</c:f>
              <c:numCache>
                <c:formatCode>General</c:formatCode>
                <c:ptCount val="4"/>
                <c:pt idx="0">
                  <c:v>515</c:v>
                </c:pt>
                <c:pt idx="1">
                  <c:v>478</c:v>
                </c:pt>
                <c:pt idx="2">
                  <c:v>471</c:v>
                </c:pt>
                <c:pt idx="3">
                  <c:v>444</c:v>
                </c:pt>
              </c:numCache>
            </c:numRef>
          </c:val>
          <c:extLst>
            <c:ext xmlns:c16="http://schemas.microsoft.com/office/drawing/2014/chart" uri="{C3380CC4-5D6E-409C-BE32-E72D297353CC}">
              <c16:uniqueId val="{00000000-9792-474D-94B6-A102FD62ACC6}"/>
            </c:ext>
          </c:extLst>
        </c:ser>
        <c:dLbls>
          <c:showLegendKey val="0"/>
          <c:showVal val="0"/>
          <c:showCatName val="0"/>
          <c:showSerName val="0"/>
          <c:showPercent val="0"/>
          <c:showBubbleSize val="0"/>
        </c:dLbls>
        <c:gapWidth val="50"/>
        <c:overlap val="100"/>
        <c:axId val="113536512"/>
        <c:axId val="61462720"/>
      </c:barChart>
      <c:catAx>
        <c:axId val="113536512"/>
        <c:scaling>
          <c:orientation val="minMax"/>
        </c:scaling>
        <c:delete val="0"/>
        <c:axPos val="b"/>
        <c:numFmt formatCode="General" sourceLinked="1"/>
        <c:majorTickMark val="out"/>
        <c:minorTickMark val="none"/>
        <c:tickLblPos val="nextTo"/>
        <c:crossAx val="61462720"/>
        <c:crosses val="autoZero"/>
        <c:auto val="1"/>
        <c:lblAlgn val="ctr"/>
        <c:lblOffset val="100"/>
        <c:noMultiLvlLbl val="0"/>
      </c:catAx>
      <c:valAx>
        <c:axId val="61462720"/>
        <c:scaling>
          <c:orientation val="minMax"/>
          <c:max val="1000"/>
          <c:min val="0"/>
        </c:scaling>
        <c:delete val="0"/>
        <c:axPos val="l"/>
        <c:majorGridlines>
          <c:spPr>
            <a:ln>
              <a:solidFill>
                <a:srgbClr val="4F81BD">
                  <a:lumMod val="40000"/>
                  <a:lumOff val="60000"/>
                </a:srgbClr>
              </a:solidFill>
            </a:ln>
          </c:spPr>
        </c:majorGridlines>
        <c:title>
          <c:tx>
            <c:rich>
              <a:bodyPr rot="-5400000" vert="horz"/>
              <a:lstStyle/>
              <a:p>
                <a:pPr>
                  <a:defRPr/>
                </a:pPr>
                <a:r>
                  <a:rPr lang="en-US"/>
                  <a:t>Number of articles</a:t>
                </a:r>
              </a:p>
            </c:rich>
          </c:tx>
          <c:layout/>
          <c:overlay val="0"/>
        </c:title>
        <c:numFmt formatCode="General" sourceLinked="1"/>
        <c:majorTickMark val="out"/>
        <c:minorTickMark val="none"/>
        <c:tickLblPos val="nextTo"/>
        <c:crossAx val="113536512"/>
        <c:crosses val="autoZero"/>
        <c:crossBetween val="between"/>
        <c:majorUnit val="100"/>
      </c:valAx>
    </c:plotArea>
    <c:legend>
      <c:legendPos val="b"/>
      <c:layout/>
      <c:overlay val="0"/>
    </c:legend>
    <c:plotVisOnly val="1"/>
    <c:dispBlanksAs val="gap"/>
    <c:showDLblsOverMax val="0"/>
  </c:chart>
  <c:spPr>
    <a:ln w="19035">
      <a:solidFill>
        <a:srgbClr val="244061">
          <a:lumMod val="60000"/>
          <a:lumOff val="40000"/>
        </a:srgb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chemeClr val="tx2"/>
                </a:solidFill>
              </a:rPr>
              <a:t>Top</a:t>
            </a:r>
            <a:r>
              <a:rPr lang="en-US" sz="1400" b="1" baseline="0">
                <a:solidFill>
                  <a:schemeClr val="tx2"/>
                </a:solidFill>
              </a:rPr>
              <a:t> Journal Titles</a:t>
            </a:r>
            <a:endParaRPr lang="en-US" sz="1400" b="1">
              <a:solidFill>
                <a:schemeClr val="tx2"/>
              </a:solidFill>
            </a:endParaRPr>
          </a:p>
        </c:rich>
      </c:tx>
      <c:layout>
        <c:manualLayout>
          <c:xMode val="edge"/>
          <c:yMode val="edge"/>
          <c:x val="2.4415463692038512E-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335593467483231"/>
          <c:y val="0.12734126984126987"/>
          <c:w val="0.63534776902887136"/>
          <c:h val="0.68107767779027617"/>
        </c:manualLayout>
      </c:layout>
      <c:barChart>
        <c:barDir val="bar"/>
        <c:grouping val="stacked"/>
        <c:varyColors val="0"/>
        <c:ser>
          <c:idx val="0"/>
          <c:order val="0"/>
          <c:tx>
            <c:strRef>
              <c:f>Sheet1!$B$1</c:f>
              <c:strCache>
                <c:ptCount val="1"/>
                <c:pt idx="0">
                  <c:v>NOAA Authored Articles</c:v>
                </c:pt>
              </c:strCache>
            </c:strRef>
          </c:tx>
          <c:spPr>
            <a:solidFill>
              <a:schemeClr val="accent1"/>
            </a:solidFill>
            <a:ln>
              <a:noFill/>
            </a:ln>
            <a:effectLst/>
          </c:spPr>
          <c:invertIfNegative val="0"/>
          <c:cat>
            <c:strRef>
              <c:f>Sheet1!$A$2:$A$11</c:f>
              <c:strCache>
                <c:ptCount val="10"/>
                <c:pt idx="0">
                  <c:v>Bull Of The Amer Meteor Soc</c:v>
                </c:pt>
                <c:pt idx="1">
                  <c:v>Scientific Reports</c:v>
                </c:pt>
                <c:pt idx="2">
                  <c:v>Marine Ecology Progress Series</c:v>
                </c:pt>
                <c:pt idx="3">
                  <c:v>Atmos Chemistry &amp; Physics</c:v>
                </c:pt>
                <c:pt idx="4">
                  <c:v>Monthly Weather Review</c:v>
                </c:pt>
                <c:pt idx="5">
                  <c:v>Remote Sensing</c:v>
                </c:pt>
                <c:pt idx="6">
                  <c:v>Journal Of Climate</c:v>
                </c:pt>
                <c:pt idx="7">
                  <c:v>J Of Geophysical Res Atmos</c:v>
                </c:pt>
                <c:pt idx="8">
                  <c:v>Frontiers In Marine Science</c:v>
                </c:pt>
                <c:pt idx="9">
                  <c:v>Geophysical Research Letters</c:v>
                </c:pt>
              </c:strCache>
            </c:strRef>
          </c:cat>
          <c:val>
            <c:numRef>
              <c:f>Sheet1!$B$2:$B$11</c:f>
              <c:numCache>
                <c:formatCode>General</c:formatCode>
                <c:ptCount val="10"/>
                <c:pt idx="0">
                  <c:v>53</c:v>
                </c:pt>
                <c:pt idx="1">
                  <c:v>38</c:v>
                </c:pt>
                <c:pt idx="2">
                  <c:v>44</c:v>
                </c:pt>
                <c:pt idx="3">
                  <c:v>55</c:v>
                </c:pt>
                <c:pt idx="4">
                  <c:v>52</c:v>
                </c:pt>
                <c:pt idx="5">
                  <c:v>51</c:v>
                </c:pt>
                <c:pt idx="6">
                  <c:v>51</c:v>
                </c:pt>
                <c:pt idx="7">
                  <c:v>68</c:v>
                </c:pt>
                <c:pt idx="8">
                  <c:v>71</c:v>
                </c:pt>
                <c:pt idx="9">
                  <c:v>79</c:v>
                </c:pt>
              </c:numCache>
            </c:numRef>
          </c:val>
          <c:extLst>
            <c:ext xmlns:c16="http://schemas.microsoft.com/office/drawing/2014/chart" uri="{C3380CC4-5D6E-409C-BE32-E72D297353CC}">
              <c16:uniqueId val="{00000000-F670-41A0-A772-4E3DB4EFDB53}"/>
            </c:ext>
          </c:extLst>
        </c:ser>
        <c:ser>
          <c:idx val="1"/>
          <c:order val="1"/>
          <c:tx>
            <c:strRef>
              <c:f>Sheet1!$C$1</c:f>
              <c:strCache>
                <c:ptCount val="1"/>
                <c:pt idx="0">
                  <c:v>NOAA Funded Articles</c:v>
                </c:pt>
              </c:strCache>
            </c:strRef>
          </c:tx>
          <c:spPr>
            <a:solidFill>
              <a:schemeClr val="accent5"/>
            </a:solidFill>
            <a:ln>
              <a:noFill/>
            </a:ln>
            <a:effectLst/>
          </c:spPr>
          <c:invertIfNegative val="0"/>
          <c:cat>
            <c:strRef>
              <c:f>Sheet1!$A$2:$A$11</c:f>
              <c:strCache>
                <c:ptCount val="10"/>
                <c:pt idx="0">
                  <c:v>Bull Of The Amer Meteor Soc</c:v>
                </c:pt>
                <c:pt idx="1">
                  <c:v>Scientific Reports</c:v>
                </c:pt>
                <c:pt idx="2">
                  <c:v>Marine Ecology Progress Series</c:v>
                </c:pt>
                <c:pt idx="3">
                  <c:v>Atmos Chemistry &amp; Physics</c:v>
                </c:pt>
                <c:pt idx="4">
                  <c:v>Monthly Weather Review</c:v>
                </c:pt>
                <c:pt idx="5">
                  <c:v>Remote Sensing</c:v>
                </c:pt>
                <c:pt idx="6">
                  <c:v>Journal Of Climate</c:v>
                </c:pt>
                <c:pt idx="7">
                  <c:v>J Of Geophysical Res Atmos</c:v>
                </c:pt>
                <c:pt idx="8">
                  <c:v>Frontiers In Marine Science</c:v>
                </c:pt>
                <c:pt idx="9">
                  <c:v>Geophysical Research Letters</c:v>
                </c:pt>
              </c:strCache>
            </c:strRef>
          </c:cat>
          <c:val>
            <c:numRef>
              <c:f>Sheet1!$C$2:$C$11</c:f>
              <c:numCache>
                <c:formatCode>General</c:formatCode>
                <c:ptCount val="10"/>
                <c:pt idx="0">
                  <c:v>14</c:v>
                </c:pt>
                <c:pt idx="1">
                  <c:v>30</c:v>
                </c:pt>
                <c:pt idx="2">
                  <c:v>28</c:v>
                </c:pt>
                <c:pt idx="3">
                  <c:v>23</c:v>
                </c:pt>
                <c:pt idx="4">
                  <c:v>43</c:v>
                </c:pt>
                <c:pt idx="5">
                  <c:v>46</c:v>
                </c:pt>
                <c:pt idx="6">
                  <c:v>52</c:v>
                </c:pt>
                <c:pt idx="7">
                  <c:v>46</c:v>
                </c:pt>
                <c:pt idx="8">
                  <c:v>47</c:v>
                </c:pt>
                <c:pt idx="9">
                  <c:v>78</c:v>
                </c:pt>
              </c:numCache>
            </c:numRef>
          </c:val>
          <c:extLst>
            <c:ext xmlns:c16="http://schemas.microsoft.com/office/drawing/2014/chart" uri="{C3380CC4-5D6E-409C-BE32-E72D297353CC}">
              <c16:uniqueId val="{00000001-F670-41A0-A772-4E3DB4EFDB53}"/>
            </c:ext>
          </c:extLst>
        </c:ser>
        <c:dLbls>
          <c:showLegendKey val="0"/>
          <c:showVal val="0"/>
          <c:showCatName val="0"/>
          <c:showSerName val="0"/>
          <c:showPercent val="0"/>
          <c:showBubbleSize val="0"/>
        </c:dLbls>
        <c:gapWidth val="25"/>
        <c:overlap val="100"/>
        <c:axId val="1589413919"/>
        <c:axId val="1589415167"/>
      </c:barChart>
      <c:catAx>
        <c:axId val="1589413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589415167"/>
        <c:crosses val="autoZero"/>
        <c:auto val="1"/>
        <c:lblAlgn val="ctr"/>
        <c:lblOffset val="100"/>
        <c:noMultiLvlLbl val="0"/>
      </c:catAx>
      <c:valAx>
        <c:axId val="1589415167"/>
        <c:scaling>
          <c:orientation val="minMax"/>
          <c:max val="1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lumMod val="75000"/>
                        <a:lumOff val="25000"/>
                      </a:schemeClr>
                    </a:solidFill>
                  </a:rPr>
                  <a:t>number of articles</a:t>
                </a:r>
              </a:p>
            </c:rich>
          </c:tx>
          <c:layout>
            <c:manualLayout>
              <c:xMode val="edge"/>
              <c:yMode val="edge"/>
              <c:x val="0.49872065470982785"/>
              <c:y val="0.868035497804926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413919"/>
        <c:crosses val="autoZero"/>
        <c:crossBetween val="between"/>
        <c:majorUnit val="2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2"/>
                </a:solidFill>
              </a:rPr>
              <a:t>Articles per Subject Category</a:t>
            </a:r>
          </a:p>
        </c:rich>
      </c:tx>
      <c:layout>
        <c:manualLayout>
          <c:xMode val="edge"/>
          <c:yMode val="edge"/>
          <c:x val="1.4664260717410314E-2"/>
          <c:y val="2.07864195392343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473163540825362"/>
          <c:y val="0.11940476190476192"/>
          <c:w val="0.63397200642268525"/>
          <c:h val="0.74077828649142829"/>
        </c:manualLayout>
      </c:layout>
      <c:barChart>
        <c:barDir val="bar"/>
        <c:grouping val="stacked"/>
        <c:varyColors val="0"/>
        <c:ser>
          <c:idx val="0"/>
          <c:order val="0"/>
          <c:tx>
            <c:strRef>
              <c:f>Sheet1!$B$1</c:f>
              <c:strCache>
                <c:ptCount val="1"/>
                <c:pt idx="0">
                  <c:v>NOAA Authored Articles</c:v>
                </c:pt>
              </c:strCache>
            </c:strRef>
          </c:tx>
          <c:spPr>
            <a:solidFill>
              <a:schemeClr val="accent1"/>
            </a:solidFill>
            <a:ln>
              <a:noFill/>
            </a:ln>
            <a:effectLst/>
          </c:spPr>
          <c:invertIfNegative val="0"/>
          <c:cat>
            <c:strRef>
              <c:f>Sheet1!$A$2:$A$16</c:f>
              <c:strCache>
                <c:ptCount val="15"/>
                <c:pt idx="0">
                  <c:v>Geochemistry Geophysics</c:v>
                </c:pt>
                <c:pt idx="1">
                  <c:v>Zoology</c:v>
                </c:pt>
                <c:pt idx="2">
                  <c:v>Environmental Studies</c:v>
                </c:pt>
                <c:pt idx="3">
                  <c:v>Biodiversity Conservation</c:v>
                </c:pt>
                <c:pt idx="4">
                  <c:v>Water Resources</c:v>
                </c:pt>
                <c:pt idx="5">
                  <c:v>Imaging Science Photo Tech</c:v>
                </c:pt>
                <c:pt idx="6">
                  <c:v>Remote Sensing</c:v>
                </c:pt>
                <c:pt idx="7">
                  <c:v>Multidisciplinary Sciences</c:v>
                </c:pt>
                <c:pt idx="8">
                  <c:v>Fisheries</c:v>
                </c:pt>
                <c:pt idx="9">
                  <c:v>Ecology</c:v>
                </c:pt>
                <c:pt idx="10">
                  <c:v>Oceanography</c:v>
                </c:pt>
                <c:pt idx="11">
                  <c:v>Geosciences Multidisciplinary</c:v>
                </c:pt>
                <c:pt idx="12">
                  <c:v>Marine Freshwater Biology</c:v>
                </c:pt>
                <c:pt idx="13">
                  <c:v>Environmental Sciences</c:v>
                </c:pt>
                <c:pt idx="14">
                  <c:v>Meteorology Atmospheric Sci</c:v>
                </c:pt>
              </c:strCache>
            </c:strRef>
          </c:cat>
          <c:val>
            <c:numRef>
              <c:f>Sheet1!$B$2:$B$16</c:f>
              <c:numCache>
                <c:formatCode>General</c:formatCode>
                <c:ptCount val="15"/>
                <c:pt idx="0">
                  <c:v>50</c:v>
                </c:pt>
                <c:pt idx="1">
                  <c:v>61</c:v>
                </c:pt>
                <c:pt idx="2">
                  <c:v>48</c:v>
                </c:pt>
                <c:pt idx="3">
                  <c:v>76</c:v>
                </c:pt>
                <c:pt idx="4">
                  <c:v>61</c:v>
                </c:pt>
                <c:pt idx="5">
                  <c:v>100</c:v>
                </c:pt>
                <c:pt idx="6">
                  <c:v>106</c:v>
                </c:pt>
                <c:pt idx="7">
                  <c:v>154</c:v>
                </c:pt>
                <c:pt idx="8">
                  <c:v>189</c:v>
                </c:pt>
                <c:pt idx="9">
                  <c:v>209</c:v>
                </c:pt>
                <c:pt idx="10">
                  <c:v>238</c:v>
                </c:pt>
                <c:pt idx="11">
                  <c:v>243</c:v>
                </c:pt>
                <c:pt idx="12">
                  <c:v>340</c:v>
                </c:pt>
                <c:pt idx="13">
                  <c:v>442</c:v>
                </c:pt>
                <c:pt idx="14">
                  <c:v>620</c:v>
                </c:pt>
              </c:numCache>
            </c:numRef>
          </c:val>
          <c:extLst>
            <c:ext xmlns:c16="http://schemas.microsoft.com/office/drawing/2014/chart" uri="{C3380CC4-5D6E-409C-BE32-E72D297353CC}">
              <c16:uniqueId val="{00000000-EFB1-403A-B3FA-8651BD5F2540}"/>
            </c:ext>
          </c:extLst>
        </c:ser>
        <c:ser>
          <c:idx val="1"/>
          <c:order val="1"/>
          <c:tx>
            <c:strRef>
              <c:f>Sheet1!$C$1</c:f>
              <c:strCache>
                <c:ptCount val="1"/>
                <c:pt idx="0">
                  <c:v>NOAA Funded Articles</c:v>
                </c:pt>
              </c:strCache>
            </c:strRef>
          </c:tx>
          <c:spPr>
            <a:solidFill>
              <a:schemeClr val="accent5"/>
            </a:solidFill>
            <a:ln>
              <a:noFill/>
            </a:ln>
            <a:effectLst/>
          </c:spPr>
          <c:invertIfNegative val="0"/>
          <c:cat>
            <c:strRef>
              <c:f>Sheet1!$A$2:$A$16</c:f>
              <c:strCache>
                <c:ptCount val="15"/>
                <c:pt idx="0">
                  <c:v>Geochemistry Geophysics</c:v>
                </c:pt>
                <c:pt idx="1">
                  <c:v>Zoology</c:v>
                </c:pt>
                <c:pt idx="2">
                  <c:v>Environmental Studies</c:v>
                </c:pt>
                <c:pt idx="3">
                  <c:v>Biodiversity Conservation</c:v>
                </c:pt>
                <c:pt idx="4">
                  <c:v>Water Resources</c:v>
                </c:pt>
                <c:pt idx="5">
                  <c:v>Imaging Science Photo Tech</c:v>
                </c:pt>
                <c:pt idx="6">
                  <c:v>Remote Sensing</c:v>
                </c:pt>
                <c:pt idx="7">
                  <c:v>Multidisciplinary Sciences</c:v>
                </c:pt>
                <c:pt idx="8">
                  <c:v>Fisheries</c:v>
                </c:pt>
                <c:pt idx="9">
                  <c:v>Ecology</c:v>
                </c:pt>
                <c:pt idx="10">
                  <c:v>Oceanography</c:v>
                </c:pt>
                <c:pt idx="11">
                  <c:v>Geosciences Multidisciplinary</c:v>
                </c:pt>
                <c:pt idx="12">
                  <c:v>Marine Freshwater Biology</c:v>
                </c:pt>
                <c:pt idx="13">
                  <c:v>Environmental Sciences</c:v>
                </c:pt>
                <c:pt idx="14">
                  <c:v>Meteorology Atmospheric Sci</c:v>
                </c:pt>
              </c:strCache>
            </c:strRef>
          </c:cat>
          <c:val>
            <c:numRef>
              <c:f>Sheet1!$C$2:$C$16</c:f>
              <c:numCache>
                <c:formatCode>General</c:formatCode>
                <c:ptCount val="15"/>
                <c:pt idx="0">
                  <c:v>48</c:v>
                </c:pt>
                <c:pt idx="1">
                  <c:v>39</c:v>
                </c:pt>
                <c:pt idx="2">
                  <c:v>60</c:v>
                </c:pt>
                <c:pt idx="3">
                  <c:v>57</c:v>
                </c:pt>
                <c:pt idx="4">
                  <c:v>89</c:v>
                </c:pt>
                <c:pt idx="5">
                  <c:v>59</c:v>
                </c:pt>
                <c:pt idx="6">
                  <c:v>63</c:v>
                </c:pt>
                <c:pt idx="7">
                  <c:v>137</c:v>
                </c:pt>
                <c:pt idx="8">
                  <c:v>111</c:v>
                </c:pt>
                <c:pt idx="9">
                  <c:v>165</c:v>
                </c:pt>
                <c:pt idx="10">
                  <c:v>196</c:v>
                </c:pt>
                <c:pt idx="11">
                  <c:v>268</c:v>
                </c:pt>
                <c:pt idx="12">
                  <c:v>271</c:v>
                </c:pt>
                <c:pt idx="13">
                  <c:v>460</c:v>
                </c:pt>
                <c:pt idx="14">
                  <c:v>494</c:v>
                </c:pt>
              </c:numCache>
            </c:numRef>
          </c:val>
          <c:extLst>
            <c:ext xmlns:c16="http://schemas.microsoft.com/office/drawing/2014/chart" uri="{C3380CC4-5D6E-409C-BE32-E72D297353CC}">
              <c16:uniqueId val="{00000001-EFB1-403A-B3FA-8651BD5F2540}"/>
            </c:ext>
          </c:extLst>
        </c:ser>
        <c:dLbls>
          <c:showLegendKey val="0"/>
          <c:showVal val="0"/>
          <c:showCatName val="0"/>
          <c:showSerName val="0"/>
          <c:showPercent val="0"/>
          <c:showBubbleSize val="0"/>
        </c:dLbls>
        <c:gapWidth val="30"/>
        <c:overlap val="100"/>
        <c:axId val="69820912"/>
        <c:axId val="69824240"/>
      </c:barChart>
      <c:catAx>
        <c:axId val="6982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69824240"/>
        <c:crosses val="autoZero"/>
        <c:auto val="1"/>
        <c:lblAlgn val="ctr"/>
        <c:lblOffset val="100"/>
        <c:noMultiLvlLbl val="0"/>
      </c:catAx>
      <c:valAx>
        <c:axId val="69824240"/>
        <c:scaling>
          <c:orientation val="minMax"/>
          <c:max val="11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r>
                  <a:rPr lang="en-US" b="0">
                    <a:solidFill>
                      <a:schemeClr val="tx1">
                        <a:lumMod val="50000"/>
                        <a:lumOff val="50000"/>
                      </a:schemeClr>
                    </a:solidFill>
                  </a:rPr>
                  <a:t>number of articles</a:t>
                </a:r>
              </a:p>
            </c:rich>
          </c:tx>
          <c:layout>
            <c:manualLayout>
              <c:xMode val="edge"/>
              <c:yMode val="edge"/>
              <c:x val="0.56873334368118789"/>
              <c:y val="0.906512109715099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20912"/>
        <c:crosses val="autoZero"/>
        <c:crossBetween val="between"/>
        <c:majorUnit val="100"/>
      </c:valAx>
      <c:spPr>
        <a:noFill/>
        <a:ln>
          <a:noFill/>
        </a:ln>
        <a:effectLst/>
      </c:spPr>
    </c:plotArea>
    <c:legend>
      <c:legendPos val="b"/>
      <c:layout>
        <c:manualLayout>
          <c:xMode val="edge"/>
          <c:yMode val="edge"/>
          <c:x val="0.406533003955862"/>
          <c:y val="0.94694113598996255"/>
          <c:w val="0.5057364822380831"/>
          <c:h val="4.25441021309371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4F81BD"/>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400">
                <a:solidFill>
                  <a:schemeClr val="tx2"/>
                </a:solidFill>
              </a:rPr>
              <a:t>Articles</a:t>
            </a:r>
            <a:r>
              <a:rPr lang="en-US" sz="1400" baseline="0">
                <a:solidFill>
                  <a:schemeClr val="tx2"/>
                </a:solidFill>
              </a:rPr>
              <a:t> Per Quarter Per Line Office</a:t>
            </a:r>
            <a:endParaRPr lang="en-US" sz="1400">
              <a:solidFill>
                <a:schemeClr val="tx2"/>
              </a:solidFill>
            </a:endParaRPr>
          </a:p>
        </c:rich>
      </c:tx>
      <c:layout>
        <c:manualLayout>
          <c:xMode val="edge"/>
          <c:yMode val="edge"/>
          <c:x val="1.2941853770869314E-2"/>
          <c:y val="2.4096249713752224E-2"/>
        </c:manualLayout>
      </c:layout>
      <c:overlay val="0"/>
    </c:title>
    <c:autoTitleDeleted val="0"/>
    <c:plotArea>
      <c:layout/>
      <c:lineChart>
        <c:grouping val="standard"/>
        <c:varyColors val="0"/>
        <c:ser>
          <c:idx val="0"/>
          <c:order val="0"/>
          <c:tx>
            <c:strRef>
              <c:f>Sheet1!$B$1</c:f>
              <c:strCache>
                <c:ptCount val="1"/>
                <c:pt idx="0">
                  <c:v>NESDIS</c:v>
                </c:pt>
              </c:strCache>
            </c:strRef>
          </c:tx>
          <c:spPr>
            <a:ln>
              <a:solidFill>
                <a:srgbClr val="244061">
                  <a:lumMod val="60000"/>
                  <a:lumOff val="40000"/>
                </a:srgbClr>
              </a:solidFill>
            </a:ln>
          </c:spPr>
          <c:cat>
            <c:strRef>
              <c:f>Sheet1!$A$2:$A$5</c:f>
              <c:strCache>
                <c:ptCount val="4"/>
                <c:pt idx="0">
                  <c:v>Quarter 1</c:v>
                </c:pt>
                <c:pt idx="1">
                  <c:v>Quarter 2</c:v>
                </c:pt>
                <c:pt idx="2">
                  <c:v>Quarter 3</c:v>
                </c:pt>
                <c:pt idx="3">
                  <c:v>Quarter 4</c:v>
                </c:pt>
              </c:strCache>
            </c:strRef>
          </c:cat>
          <c:val>
            <c:numRef>
              <c:f>Sheet1!$B$2:$B$5</c:f>
              <c:numCache>
                <c:formatCode>General</c:formatCode>
                <c:ptCount val="4"/>
                <c:pt idx="0">
                  <c:v>50</c:v>
                </c:pt>
                <c:pt idx="1">
                  <c:v>61</c:v>
                </c:pt>
                <c:pt idx="2">
                  <c:v>45</c:v>
                </c:pt>
                <c:pt idx="3">
                  <c:v>45</c:v>
                </c:pt>
              </c:numCache>
            </c:numRef>
          </c:val>
          <c:smooth val="0"/>
          <c:extLst>
            <c:ext xmlns:c16="http://schemas.microsoft.com/office/drawing/2014/chart" uri="{C3380CC4-5D6E-409C-BE32-E72D297353CC}">
              <c16:uniqueId val="{00000000-15CB-431F-B41F-EC0170D7D552}"/>
            </c:ext>
          </c:extLst>
        </c:ser>
        <c:ser>
          <c:idx val="1"/>
          <c:order val="1"/>
          <c:tx>
            <c:strRef>
              <c:f>Sheet1!$C$1</c:f>
              <c:strCache>
                <c:ptCount val="1"/>
                <c:pt idx="0">
                  <c:v>NMFS</c:v>
                </c:pt>
              </c:strCache>
            </c:strRef>
          </c:tx>
          <c:cat>
            <c:strRef>
              <c:f>Sheet1!$A$2:$A$5</c:f>
              <c:strCache>
                <c:ptCount val="4"/>
                <c:pt idx="0">
                  <c:v>Quarter 1</c:v>
                </c:pt>
                <c:pt idx="1">
                  <c:v>Quarter 2</c:v>
                </c:pt>
                <c:pt idx="2">
                  <c:v>Quarter 3</c:v>
                </c:pt>
                <c:pt idx="3">
                  <c:v>Quarter 4</c:v>
                </c:pt>
              </c:strCache>
            </c:strRef>
          </c:cat>
          <c:val>
            <c:numRef>
              <c:f>Sheet1!$C$2:$C$5</c:f>
              <c:numCache>
                <c:formatCode>General</c:formatCode>
                <c:ptCount val="4"/>
                <c:pt idx="0">
                  <c:v>181</c:v>
                </c:pt>
                <c:pt idx="1">
                  <c:v>201</c:v>
                </c:pt>
                <c:pt idx="2">
                  <c:v>177</c:v>
                </c:pt>
                <c:pt idx="3">
                  <c:v>151</c:v>
                </c:pt>
              </c:numCache>
            </c:numRef>
          </c:val>
          <c:smooth val="0"/>
          <c:extLst>
            <c:ext xmlns:c16="http://schemas.microsoft.com/office/drawing/2014/chart" uri="{C3380CC4-5D6E-409C-BE32-E72D297353CC}">
              <c16:uniqueId val="{00000001-15CB-431F-B41F-EC0170D7D552}"/>
            </c:ext>
          </c:extLst>
        </c:ser>
        <c:ser>
          <c:idx val="2"/>
          <c:order val="2"/>
          <c:tx>
            <c:strRef>
              <c:f>Sheet1!$D$1</c:f>
              <c:strCache>
                <c:ptCount val="1"/>
                <c:pt idx="0">
                  <c:v>NOS</c:v>
                </c:pt>
              </c:strCache>
            </c:strRef>
          </c:tx>
          <c:cat>
            <c:strRef>
              <c:f>Sheet1!$A$2:$A$5</c:f>
              <c:strCache>
                <c:ptCount val="4"/>
                <c:pt idx="0">
                  <c:v>Quarter 1</c:v>
                </c:pt>
                <c:pt idx="1">
                  <c:v>Quarter 2</c:v>
                </c:pt>
                <c:pt idx="2">
                  <c:v>Quarter 3</c:v>
                </c:pt>
                <c:pt idx="3">
                  <c:v>Quarter 4</c:v>
                </c:pt>
              </c:strCache>
            </c:strRef>
          </c:cat>
          <c:val>
            <c:numRef>
              <c:f>Sheet1!$D$2:$D$5</c:f>
              <c:numCache>
                <c:formatCode>General</c:formatCode>
                <c:ptCount val="4"/>
                <c:pt idx="0">
                  <c:v>31</c:v>
                </c:pt>
                <c:pt idx="1">
                  <c:v>39</c:v>
                </c:pt>
                <c:pt idx="2">
                  <c:v>35</c:v>
                </c:pt>
                <c:pt idx="3">
                  <c:v>27</c:v>
                </c:pt>
              </c:numCache>
            </c:numRef>
          </c:val>
          <c:smooth val="0"/>
          <c:extLst>
            <c:ext xmlns:c16="http://schemas.microsoft.com/office/drawing/2014/chart" uri="{C3380CC4-5D6E-409C-BE32-E72D297353CC}">
              <c16:uniqueId val="{00000002-15CB-431F-B41F-EC0170D7D552}"/>
            </c:ext>
          </c:extLst>
        </c:ser>
        <c:ser>
          <c:idx val="3"/>
          <c:order val="3"/>
          <c:tx>
            <c:strRef>
              <c:f>Sheet1!$E$1</c:f>
              <c:strCache>
                <c:ptCount val="1"/>
                <c:pt idx="0">
                  <c:v>NWS</c:v>
                </c:pt>
              </c:strCache>
            </c:strRef>
          </c:tx>
          <c:cat>
            <c:strRef>
              <c:f>Sheet1!$A$2:$A$5</c:f>
              <c:strCache>
                <c:ptCount val="4"/>
                <c:pt idx="0">
                  <c:v>Quarter 1</c:v>
                </c:pt>
                <c:pt idx="1">
                  <c:v>Quarter 2</c:v>
                </c:pt>
                <c:pt idx="2">
                  <c:v>Quarter 3</c:v>
                </c:pt>
                <c:pt idx="3">
                  <c:v>Quarter 4</c:v>
                </c:pt>
              </c:strCache>
            </c:strRef>
          </c:cat>
          <c:val>
            <c:numRef>
              <c:f>Sheet1!$E$2:$E$5</c:f>
              <c:numCache>
                <c:formatCode>General</c:formatCode>
                <c:ptCount val="4"/>
                <c:pt idx="0">
                  <c:v>43</c:v>
                </c:pt>
                <c:pt idx="1">
                  <c:v>56</c:v>
                </c:pt>
                <c:pt idx="2">
                  <c:v>49</c:v>
                </c:pt>
                <c:pt idx="3">
                  <c:v>48</c:v>
                </c:pt>
              </c:numCache>
            </c:numRef>
          </c:val>
          <c:smooth val="0"/>
          <c:extLst>
            <c:ext xmlns:c16="http://schemas.microsoft.com/office/drawing/2014/chart" uri="{C3380CC4-5D6E-409C-BE32-E72D297353CC}">
              <c16:uniqueId val="{00000003-15CB-431F-B41F-EC0170D7D552}"/>
            </c:ext>
          </c:extLst>
        </c:ser>
        <c:ser>
          <c:idx val="4"/>
          <c:order val="4"/>
          <c:tx>
            <c:strRef>
              <c:f>Sheet1!$F$1</c:f>
              <c:strCache>
                <c:ptCount val="1"/>
                <c:pt idx="0">
                  <c:v>OAR</c:v>
                </c:pt>
              </c:strCache>
            </c:strRef>
          </c:tx>
          <c:cat>
            <c:strRef>
              <c:f>Sheet1!$A$2:$A$5</c:f>
              <c:strCache>
                <c:ptCount val="4"/>
                <c:pt idx="0">
                  <c:v>Quarter 1</c:v>
                </c:pt>
                <c:pt idx="1">
                  <c:v>Quarter 2</c:v>
                </c:pt>
                <c:pt idx="2">
                  <c:v>Quarter 3</c:v>
                </c:pt>
                <c:pt idx="3">
                  <c:v>Quarter 4</c:v>
                </c:pt>
              </c:strCache>
            </c:strRef>
          </c:cat>
          <c:val>
            <c:numRef>
              <c:f>Sheet1!$F$2:$F$5</c:f>
              <c:numCache>
                <c:formatCode>General</c:formatCode>
                <c:ptCount val="4"/>
                <c:pt idx="0">
                  <c:v>221</c:v>
                </c:pt>
                <c:pt idx="1">
                  <c:v>221</c:v>
                </c:pt>
                <c:pt idx="2">
                  <c:v>205</c:v>
                </c:pt>
                <c:pt idx="3">
                  <c:v>183</c:v>
                </c:pt>
              </c:numCache>
            </c:numRef>
          </c:val>
          <c:smooth val="0"/>
          <c:extLst>
            <c:ext xmlns:c16="http://schemas.microsoft.com/office/drawing/2014/chart" uri="{C3380CC4-5D6E-409C-BE32-E72D297353CC}">
              <c16:uniqueId val="{00000004-15CB-431F-B41F-EC0170D7D552}"/>
            </c:ext>
          </c:extLst>
        </c:ser>
        <c:dLbls>
          <c:showLegendKey val="0"/>
          <c:showVal val="0"/>
          <c:showCatName val="0"/>
          <c:showSerName val="0"/>
          <c:showPercent val="0"/>
          <c:showBubbleSize val="0"/>
        </c:dLbls>
        <c:marker val="1"/>
        <c:smooth val="0"/>
        <c:axId val="54439936"/>
        <c:axId val="118587392"/>
      </c:lineChart>
      <c:catAx>
        <c:axId val="54439936"/>
        <c:scaling>
          <c:orientation val="minMax"/>
        </c:scaling>
        <c:delete val="0"/>
        <c:axPos val="b"/>
        <c:numFmt formatCode="General" sourceLinked="1"/>
        <c:majorTickMark val="out"/>
        <c:minorTickMark val="none"/>
        <c:tickLblPos val="nextTo"/>
        <c:crossAx val="118587392"/>
        <c:crosses val="autoZero"/>
        <c:auto val="1"/>
        <c:lblAlgn val="ctr"/>
        <c:lblOffset val="100"/>
        <c:noMultiLvlLbl val="0"/>
      </c:catAx>
      <c:valAx>
        <c:axId val="118587392"/>
        <c:scaling>
          <c:orientation val="minMax"/>
        </c:scaling>
        <c:delete val="0"/>
        <c:axPos val="l"/>
        <c:majorGridlines>
          <c:spPr>
            <a:ln>
              <a:solidFill>
                <a:srgbClr val="4F81BD">
                  <a:lumMod val="40000"/>
                  <a:lumOff val="60000"/>
                </a:srgbClr>
              </a:solidFill>
            </a:ln>
          </c:spPr>
        </c:majorGridlines>
        <c:title>
          <c:tx>
            <c:rich>
              <a:bodyPr rot="-5400000" vert="horz"/>
              <a:lstStyle/>
              <a:p>
                <a:pPr>
                  <a:defRPr/>
                </a:pPr>
                <a:r>
                  <a:rPr lang="en-US"/>
                  <a:t>Number of articles</a:t>
                </a:r>
              </a:p>
            </c:rich>
          </c:tx>
          <c:layout/>
          <c:overlay val="0"/>
        </c:title>
        <c:numFmt formatCode="General" sourceLinked="1"/>
        <c:majorTickMark val="out"/>
        <c:minorTickMark val="none"/>
        <c:tickLblPos val="nextTo"/>
        <c:crossAx val="54439936"/>
        <c:crosses val="autoZero"/>
        <c:crossBetween val="between"/>
      </c:valAx>
    </c:plotArea>
    <c:legend>
      <c:legendPos val="r"/>
      <c:layout/>
      <c:overlay val="0"/>
    </c:legend>
    <c:plotVisOnly val="1"/>
    <c:dispBlanksAs val="gap"/>
    <c:showDLblsOverMax val="0"/>
  </c:chart>
  <c:spPr>
    <a:ln w="19063">
      <a:solidFill>
        <a:srgbClr val="244061">
          <a:lumMod val="60000"/>
          <a:lumOff val="40000"/>
        </a:srgb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2"/>
                </a:solidFill>
              </a:defRPr>
            </a:pPr>
            <a:r>
              <a:rPr lang="en-US" sz="1400">
                <a:solidFill>
                  <a:schemeClr val="tx2"/>
                </a:solidFill>
              </a:rPr>
              <a:t>Articles per Line Office</a:t>
            </a:r>
          </a:p>
        </c:rich>
      </c:tx>
      <c:layout>
        <c:manualLayout>
          <c:xMode val="edge"/>
          <c:yMode val="edge"/>
          <c:x val="1.9148594377510039E-2"/>
          <c:y val="0"/>
        </c:manualLayout>
      </c:layout>
      <c:overlay val="1"/>
    </c:title>
    <c:autoTitleDeleted val="0"/>
    <c:plotArea>
      <c:layout>
        <c:manualLayout>
          <c:layoutTarget val="inner"/>
          <c:xMode val="edge"/>
          <c:yMode val="edge"/>
          <c:x val="0.1276559466211302"/>
          <c:y val="7.5774426501772033E-2"/>
          <c:w val="0.76871897036966763"/>
          <c:h val="0.90118184379494937"/>
        </c:manualLayout>
      </c:layout>
      <c:doughnutChart>
        <c:varyColors val="1"/>
        <c:ser>
          <c:idx val="0"/>
          <c:order val="0"/>
          <c:tx>
            <c:strRef>
              <c:f>Sheet1!$B$1</c:f>
              <c:strCache>
                <c:ptCount val="1"/>
                <c:pt idx="0">
                  <c:v>Sales</c:v>
                </c:pt>
              </c:strCache>
            </c:strRef>
          </c:tx>
          <c:dLbls>
            <c:spPr>
              <a:noFill/>
              <a:ln>
                <a:noFill/>
              </a:ln>
            </c:spPr>
            <c:txPr>
              <a:bodyPr/>
              <a:lstStyle/>
              <a:p>
                <a:pPr>
                  <a:defRPr b="1">
                    <a:solidFill>
                      <a:schemeClr val="bg1"/>
                    </a:solidFill>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Sheet1!$A$2:$A$6</c:f>
              <c:strCache>
                <c:ptCount val="5"/>
                <c:pt idx="0">
                  <c:v>NESDIS</c:v>
                </c:pt>
                <c:pt idx="1">
                  <c:v>NMFS</c:v>
                </c:pt>
                <c:pt idx="2">
                  <c:v>NOS</c:v>
                </c:pt>
                <c:pt idx="3">
                  <c:v>NWS</c:v>
                </c:pt>
                <c:pt idx="4">
                  <c:v>OAR</c:v>
                </c:pt>
              </c:strCache>
            </c:strRef>
          </c:cat>
          <c:val>
            <c:numRef>
              <c:f>Sheet1!$B$2:$B$6</c:f>
              <c:numCache>
                <c:formatCode>General</c:formatCode>
                <c:ptCount val="5"/>
                <c:pt idx="0">
                  <c:v>201</c:v>
                </c:pt>
                <c:pt idx="1">
                  <c:v>710</c:v>
                </c:pt>
                <c:pt idx="2">
                  <c:v>132</c:v>
                </c:pt>
                <c:pt idx="3">
                  <c:v>196</c:v>
                </c:pt>
                <c:pt idx="4">
                  <c:v>830</c:v>
                </c:pt>
              </c:numCache>
            </c:numRef>
          </c:val>
          <c:extLst>
            <c:ext xmlns:c16="http://schemas.microsoft.com/office/drawing/2014/chart" uri="{C3380CC4-5D6E-409C-BE32-E72D297353CC}">
              <c16:uniqueId val="{00000000-6F75-4F2E-BA52-C94454425D33}"/>
            </c:ext>
          </c:extLst>
        </c:ser>
        <c:dLbls>
          <c:showLegendKey val="0"/>
          <c:showVal val="0"/>
          <c:showCatName val="0"/>
          <c:showSerName val="0"/>
          <c:showPercent val="0"/>
          <c:showBubbleSize val="0"/>
          <c:showLeaderLines val="0"/>
        </c:dLbls>
        <c:firstSliceAng val="0"/>
        <c:holeSize val="30"/>
      </c:doughnutChart>
      <c:spPr>
        <a:noFill/>
        <a:ln w="25401">
          <a:noFill/>
        </a:ln>
      </c:spPr>
    </c:plotArea>
    <c:plotVisOnly val="1"/>
    <c:dispBlanksAs val="zero"/>
    <c:showDLblsOverMax val="0"/>
  </c:chart>
  <c:spPr>
    <a:ln w="19051">
      <a:solidFill>
        <a:srgbClr val="244061">
          <a:lumMod val="60000"/>
          <a:lumOff val="40000"/>
        </a:srgbClr>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2"/>
                </a:solidFill>
              </a:rPr>
              <a:t>Articles per Research Unit</a:t>
            </a:r>
          </a:p>
        </c:rich>
      </c:tx>
      <c:layout>
        <c:manualLayout>
          <c:xMode val="edge"/>
          <c:yMode val="edge"/>
          <c:x val="2.5418779775626236E-2"/>
          <c:y val="1.78094390026714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389397729156602E-2"/>
          <c:y val="0.11819531018106262"/>
          <c:w val="0.88413834162845828"/>
          <c:h val="0.87254027574246906"/>
        </c:manualLayout>
      </c:layout>
      <c:doughnutChart>
        <c:varyColors val="1"/>
        <c:ser>
          <c:idx val="0"/>
          <c:order val="0"/>
          <c:tx>
            <c:strRef>
              <c:f>Sheet1!$B$1</c:f>
              <c:strCache>
                <c:ptCount val="1"/>
                <c:pt idx="0">
                  <c:v>Sales</c:v>
                </c:pt>
              </c:strCache>
            </c:strRef>
          </c:tx>
          <c:spPr>
            <a:ln w="3175">
              <a:solidFill>
                <a:schemeClr val="bg1">
                  <a:lumMod val="85000"/>
                </a:schemeClr>
              </a:solidFill>
            </a:ln>
          </c:spPr>
          <c:dPt>
            <c:idx val="0"/>
            <c:bubble3D val="0"/>
            <c:spPr>
              <a:solidFill>
                <a:schemeClr val="accent1"/>
              </a:solidFill>
              <a:ln w="3175">
                <a:solidFill>
                  <a:schemeClr val="bg1">
                    <a:lumMod val="85000"/>
                  </a:schemeClr>
                </a:solidFill>
              </a:ln>
              <a:effectLst/>
            </c:spPr>
            <c:extLst>
              <c:ext xmlns:c16="http://schemas.microsoft.com/office/drawing/2014/chart" uri="{C3380CC4-5D6E-409C-BE32-E72D297353CC}">
                <c16:uniqueId val="{00000017-BF11-41A1-BB02-890FDABBA511}"/>
              </c:ext>
            </c:extLst>
          </c:dPt>
          <c:dPt>
            <c:idx val="1"/>
            <c:bubble3D val="0"/>
            <c:spPr>
              <a:solidFill>
                <a:schemeClr val="accent1"/>
              </a:solidFill>
              <a:ln w="3175">
                <a:solidFill>
                  <a:schemeClr val="bg1">
                    <a:lumMod val="85000"/>
                  </a:schemeClr>
                </a:solidFill>
              </a:ln>
              <a:effectLst/>
            </c:spPr>
            <c:extLst>
              <c:ext xmlns:c16="http://schemas.microsoft.com/office/drawing/2014/chart" uri="{C3380CC4-5D6E-409C-BE32-E72D297353CC}">
                <c16:uniqueId val="{00000001-BF11-41A1-BB02-890FDABBA511}"/>
              </c:ext>
            </c:extLst>
          </c:dPt>
          <c:dPt>
            <c:idx val="2"/>
            <c:bubble3D val="0"/>
            <c:spPr>
              <a:solidFill>
                <a:schemeClr val="accent1"/>
              </a:solidFill>
              <a:ln w="3175">
                <a:solidFill>
                  <a:schemeClr val="bg1">
                    <a:lumMod val="85000"/>
                  </a:schemeClr>
                </a:solidFill>
              </a:ln>
              <a:effectLst/>
            </c:spPr>
            <c:extLst>
              <c:ext xmlns:c16="http://schemas.microsoft.com/office/drawing/2014/chart" uri="{C3380CC4-5D6E-409C-BE32-E72D297353CC}">
                <c16:uniqueId val="{00000002-BF11-41A1-BB02-890FDABBA511}"/>
              </c:ext>
            </c:extLst>
          </c:dPt>
          <c:dPt>
            <c:idx val="3"/>
            <c:bubble3D val="0"/>
            <c:spPr>
              <a:solidFill>
                <a:schemeClr val="accent2"/>
              </a:solidFill>
              <a:ln w="3175">
                <a:solidFill>
                  <a:schemeClr val="bg1">
                    <a:lumMod val="85000"/>
                  </a:schemeClr>
                </a:solidFill>
              </a:ln>
              <a:effectLst/>
            </c:spPr>
            <c:extLst>
              <c:ext xmlns:c16="http://schemas.microsoft.com/office/drawing/2014/chart" uri="{C3380CC4-5D6E-409C-BE32-E72D297353CC}">
                <c16:uniqueId val="{00000003-BF11-41A1-BB02-890FDABBA511}"/>
              </c:ext>
            </c:extLst>
          </c:dPt>
          <c:dPt>
            <c:idx val="4"/>
            <c:bubble3D val="0"/>
            <c:spPr>
              <a:solidFill>
                <a:schemeClr val="accent2"/>
              </a:solidFill>
              <a:ln w="3175">
                <a:solidFill>
                  <a:schemeClr val="bg1">
                    <a:lumMod val="85000"/>
                  </a:schemeClr>
                </a:solidFill>
              </a:ln>
              <a:effectLst/>
            </c:spPr>
            <c:extLst>
              <c:ext xmlns:c16="http://schemas.microsoft.com/office/drawing/2014/chart" uri="{C3380CC4-5D6E-409C-BE32-E72D297353CC}">
                <c16:uniqueId val="{00000004-BF11-41A1-BB02-890FDABBA511}"/>
              </c:ext>
            </c:extLst>
          </c:dPt>
          <c:dPt>
            <c:idx val="5"/>
            <c:bubble3D val="0"/>
            <c:spPr>
              <a:solidFill>
                <a:schemeClr val="accent2"/>
              </a:solidFill>
              <a:ln w="3175">
                <a:solidFill>
                  <a:schemeClr val="bg1">
                    <a:lumMod val="85000"/>
                  </a:schemeClr>
                </a:solidFill>
              </a:ln>
              <a:effectLst/>
            </c:spPr>
            <c:extLst>
              <c:ext xmlns:c16="http://schemas.microsoft.com/office/drawing/2014/chart" uri="{C3380CC4-5D6E-409C-BE32-E72D297353CC}">
                <c16:uniqueId val="{00000005-BF11-41A1-BB02-890FDABBA511}"/>
              </c:ext>
            </c:extLst>
          </c:dPt>
          <c:dPt>
            <c:idx val="6"/>
            <c:bubble3D val="0"/>
            <c:spPr>
              <a:solidFill>
                <a:schemeClr val="accent2"/>
              </a:solidFill>
              <a:ln w="3175">
                <a:solidFill>
                  <a:schemeClr val="bg1">
                    <a:lumMod val="85000"/>
                  </a:schemeClr>
                </a:solidFill>
              </a:ln>
              <a:effectLst/>
            </c:spPr>
            <c:extLst>
              <c:ext xmlns:c16="http://schemas.microsoft.com/office/drawing/2014/chart" uri="{C3380CC4-5D6E-409C-BE32-E72D297353CC}">
                <c16:uniqueId val="{00000006-BF11-41A1-BB02-890FDABBA511}"/>
              </c:ext>
            </c:extLst>
          </c:dPt>
          <c:dPt>
            <c:idx val="7"/>
            <c:bubble3D val="0"/>
            <c:spPr>
              <a:solidFill>
                <a:schemeClr val="accent2"/>
              </a:solidFill>
              <a:ln w="3175">
                <a:solidFill>
                  <a:schemeClr val="bg1">
                    <a:lumMod val="85000"/>
                  </a:schemeClr>
                </a:solidFill>
              </a:ln>
              <a:effectLst/>
            </c:spPr>
            <c:extLst>
              <c:ext xmlns:c16="http://schemas.microsoft.com/office/drawing/2014/chart" uri="{C3380CC4-5D6E-409C-BE32-E72D297353CC}">
                <c16:uniqueId val="{00000007-BF11-41A1-BB02-890FDABBA511}"/>
              </c:ext>
            </c:extLst>
          </c:dPt>
          <c:dPt>
            <c:idx val="8"/>
            <c:bubble3D val="0"/>
            <c:spPr>
              <a:solidFill>
                <a:schemeClr val="accent2"/>
              </a:solidFill>
              <a:ln w="3175">
                <a:solidFill>
                  <a:schemeClr val="bg1">
                    <a:lumMod val="85000"/>
                  </a:schemeClr>
                </a:solidFill>
              </a:ln>
              <a:effectLst/>
            </c:spPr>
            <c:extLst>
              <c:ext xmlns:c16="http://schemas.microsoft.com/office/drawing/2014/chart" uri="{C3380CC4-5D6E-409C-BE32-E72D297353CC}">
                <c16:uniqueId val="{00000008-BF11-41A1-BB02-890FDABBA511}"/>
              </c:ext>
            </c:extLst>
          </c:dPt>
          <c:dPt>
            <c:idx val="9"/>
            <c:bubble3D val="0"/>
            <c:spPr>
              <a:solidFill>
                <a:schemeClr val="accent2"/>
              </a:solidFill>
              <a:ln w="3175">
                <a:solidFill>
                  <a:schemeClr val="bg1">
                    <a:lumMod val="85000"/>
                  </a:schemeClr>
                </a:solidFill>
              </a:ln>
              <a:effectLst/>
            </c:spPr>
            <c:extLst>
              <c:ext xmlns:c16="http://schemas.microsoft.com/office/drawing/2014/chart" uri="{C3380CC4-5D6E-409C-BE32-E72D297353CC}">
                <c16:uniqueId val="{00000009-BF11-41A1-BB02-890FDABBA511}"/>
              </c:ext>
            </c:extLst>
          </c:dPt>
          <c:dPt>
            <c:idx val="10"/>
            <c:bubble3D val="0"/>
            <c:spPr>
              <a:solidFill>
                <a:schemeClr val="accent3"/>
              </a:solidFill>
              <a:ln w="3175">
                <a:solidFill>
                  <a:schemeClr val="bg1">
                    <a:lumMod val="85000"/>
                  </a:schemeClr>
                </a:solidFill>
              </a:ln>
              <a:effectLst/>
            </c:spPr>
            <c:extLst>
              <c:ext xmlns:c16="http://schemas.microsoft.com/office/drawing/2014/chart" uri="{C3380CC4-5D6E-409C-BE32-E72D297353CC}">
                <c16:uniqueId val="{0000000A-BF11-41A1-BB02-890FDABBA511}"/>
              </c:ext>
            </c:extLst>
          </c:dPt>
          <c:dPt>
            <c:idx val="11"/>
            <c:bubble3D val="0"/>
            <c:spPr>
              <a:solidFill>
                <a:schemeClr val="accent3"/>
              </a:solidFill>
              <a:ln w="3175">
                <a:solidFill>
                  <a:schemeClr val="bg1">
                    <a:lumMod val="85000"/>
                  </a:schemeClr>
                </a:solidFill>
              </a:ln>
              <a:effectLst/>
            </c:spPr>
            <c:extLst>
              <c:ext xmlns:c16="http://schemas.microsoft.com/office/drawing/2014/chart" uri="{C3380CC4-5D6E-409C-BE32-E72D297353CC}">
                <c16:uniqueId val="{0000000B-BF11-41A1-BB02-890FDABBA511}"/>
              </c:ext>
            </c:extLst>
          </c:dPt>
          <c:dPt>
            <c:idx val="12"/>
            <c:bubble3D val="0"/>
            <c:spPr>
              <a:solidFill>
                <a:schemeClr val="accent4"/>
              </a:solidFill>
              <a:ln w="3175">
                <a:solidFill>
                  <a:schemeClr val="bg1">
                    <a:lumMod val="85000"/>
                  </a:schemeClr>
                </a:solidFill>
              </a:ln>
              <a:effectLst/>
            </c:spPr>
            <c:extLst>
              <c:ext xmlns:c16="http://schemas.microsoft.com/office/drawing/2014/chart" uri="{C3380CC4-5D6E-409C-BE32-E72D297353CC}">
                <c16:uniqueId val="{0000000C-BF11-41A1-BB02-890FDABBA511}"/>
              </c:ext>
            </c:extLst>
          </c:dPt>
          <c:dPt>
            <c:idx val="13"/>
            <c:bubble3D val="0"/>
            <c:spPr>
              <a:solidFill>
                <a:schemeClr val="accent4"/>
              </a:solidFill>
              <a:ln w="3175">
                <a:solidFill>
                  <a:schemeClr val="bg1">
                    <a:lumMod val="85000"/>
                  </a:schemeClr>
                </a:solidFill>
              </a:ln>
              <a:effectLst/>
            </c:spPr>
            <c:extLst>
              <c:ext xmlns:c16="http://schemas.microsoft.com/office/drawing/2014/chart" uri="{C3380CC4-5D6E-409C-BE32-E72D297353CC}">
                <c16:uniqueId val="{0000000D-BF11-41A1-BB02-890FDABBA511}"/>
              </c:ext>
            </c:extLst>
          </c:dPt>
          <c:dPt>
            <c:idx val="14"/>
            <c:bubble3D val="0"/>
            <c:spPr>
              <a:solidFill>
                <a:schemeClr val="accent5"/>
              </a:solidFill>
              <a:ln w="3175">
                <a:solidFill>
                  <a:schemeClr val="bg1">
                    <a:lumMod val="85000"/>
                  </a:schemeClr>
                </a:solidFill>
              </a:ln>
              <a:effectLst/>
            </c:spPr>
            <c:extLst>
              <c:ext xmlns:c16="http://schemas.microsoft.com/office/drawing/2014/chart" uri="{C3380CC4-5D6E-409C-BE32-E72D297353CC}">
                <c16:uniqueId val="{0000000E-BF11-41A1-BB02-890FDABBA511}"/>
              </c:ext>
            </c:extLst>
          </c:dPt>
          <c:dPt>
            <c:idx val="15"/>
            <c:bubble3D val="0"/>
            <c:spPr>
              <a:solidFill>
                <a:schemeClr val="accent5"/>
              </a:solidFill>
              <a:ln w="3175">
                <a:solidFill>
                  <a:schemeClr val="bg1">
                    <a:lumMod val="85000"/>
                  </a:schemeClr>
                </a:solidFill>
              </a:ln>
              <a:effectLst/>
            </c:spPr>
            <c:extLst>
              <c:ext xmlns:c16="http://schemas.microsoft.com/office/drawing/2014/chart" uri="{C3380CC4-5D6E-409C-BE32-E72D297353CC}">
                <c16:uniqueId val="{0000000F-BF11-41A1-BB02-890FDABBA511}"/>
              </c:ext>
            </c:extLst>
          </c:dPt>
          <c:dPt>
            <c:idx val="16"/>
            <c:bubble3D val="0"/>
            <c:spPr>
              <a:solidFill>
                <a:schemeClr val="accent5"/>
              </a:solidFill>
              <a:ln w="3175">
                <a:solidFill>
                  <a:schemeClr val="bg1">
                    <a:lumMod val="85000"/>
                  </a:schemeClr>
                </a:solidFill>
              </a:ln>
              <a:effectLst/>
            </c:spPr>
            <c:extLst>
              <c:ext xmlns:c16="http://schemas.microsoft.com/office/drawing/2014/chart" uri="{C3380CC4-5D6E-409C-BE32-E72D297353CC}">
                <c16:uniqueId val="{00000010-BF11-41A1-BB02-890FDABBA511}"/>
              </c:ext>
            </c:extLst>
          </c:dPt>
          <c:dPt>
            <c:idx val="17"/>
            <c:bubble3D val="0"/>
            <c:spPr>
              <a:solidFill>
                <a:schemeClr val="accent5"/>
              </a:solidFill>
              <a:ln w="3175">
                <a:solidFill>
                  <a:schemeClr val="bg1">
                    <a:lumMod val="85000"/>
                  </a:schemeClr>
                </a:solidFill>
              </a:ln>
              <a:effectLst/>
            </c:spPr>
            <c:extLst>
              <c:ext xmlns:c16="http://schemas.microsoft.com/office/drawing/2014/chart" uri="{C3380CC4-5D6E-409C-BE32-E72D297353CC}">
                <c16:uniqueId val="{00000011-BF11-41A1-BB02-890FDABBA511}"/>
              </c:ext>
            </c:extLst>
          </c:dPt>
          <c:dPt>
            <c:idx val="18"/>
            <c:bubble3D val="0"/>
            <c:spPr>
              <a:solidFill>
                <a:schemeClr val="accent5"/>
              </a:solidFill>
              <a:ln w="3175">
                <a:solidFill>
                  <a:schemeClr val="bg1">
                    <a:lumMod val="85000"/>
                  </a:schemeClr>
                </a:solidFill>
              </a:ln>
              <a:effectLst/>
            </c:spPr>
            <c:extLst>
              <c:ext xmlns:c16="http://schemas.microsoft.com/office/drawing/2014/chart" uri="{C3380CC4-5D6E-409C-BE32-E72D297353CC}">
                <c16:uniqueId val="{00000012-BF11-41A1-BB02-890FDABBA511}"/>
              </c:ext>
            </c:extLst>
          </c:dPt>
          <c:dPt>
            <c:idx val="19"/>
            <c:bubble3D val="0"/>
            <c:spPr>
              <a:solidFill>
                <a:schemeClr val="accent5"/>
              </a:solidFill>
              <a:ln w="3175">
                <a:solidFill>
                  <a:schemeClr val="bg1">
                    <a:lumMod val="85000"/>
                  </a:schemeClr>
                </a:solidFill>
              </a:ln>
              <a:effectLst/>
            </c:spPr>
            <c:extLst>
              <c:ext xmlns:c16="http://schemas.microsoft.com/office/drawing/2014/chart" uri="{C3380CC4-5D6E-409C-BE32-E72D297353CC}">
                <c16:uniqueId val="{00000013-BF11-41A1-BB02-890FDABBA511}"/>
              </c:ext>
            </c:extLst>
          </c:dPt>
          <c:dPt>
            <c:idx val="20"/>
            <c:bubble3D val="0"/>
            <c:spPr>
              <a:solidFill>
                <a:schemeClr val="accent5"/>
              </a:solidFill>
              <a:ln w="3175">
                <a:solidFill>
                  <a:schemeClr val="bg1">
                    <a:lumMod val="85000"/>
                  </a:schemeClr>
                </a:solidFill>
              </a:ln>
              <a:effectLst/>
            </c:spPr>
            <c:extLst>
              <c:ext xmlns:c16="http://schemas.microsoft.com/office/drawing/2014/chart" uri="{C3380CC4-5D6E-409C-BE32-E72D297353CC}">
                <c16:uniqueId val="{00000014-BF11-41A1-BB02-890FDABBA511}"/>
              </c:ext>
            </c:extLst>
          </c:dPt>
          <c:dPt>
            <c:idx val="21"/>
            <c:bubble3D val="0"/>
            <c:spPr>
              <a:solidFill>
                <a:schemeClr val="accent5"/>
              </a:solidFill>
              <a:ln w="3175">
                <a:solidFill>
                  <a:schemeClr val="bg1">
                    <a:lumMod val="85000"/>
                  </a:schemeClr>
                </a:solidFill>
              </a:ln>
              <a:effectLst/>
            </c:spPr>
            <c:extLst>
              <c:ext xmlns:c16="http://schemas.microsoft.com/office/drawing/2014/chart" uri="{C3380CC4-5D6E-409C-BE32-E72D297353CC}">
                <c16:uniqueId val="{00000015-BF11-41A1-BB02-890FDABBA511}"/>
              </c:ext>
            </c:extLst>
          </c:dPt>
          <c:dPt>
            <c:idx val="22"/>
            <c:bubble3D val="0"/>
            <c:spPr>
              <a:solidFill>
                <a:schemeClr val="accent5"/>
              </a:solidFill>
              <a:ln w="3175">
                <a:solidFill>
                  <a:schemeClr val="bg1">
                    <a:lumMod val="85000"/>
                  </a:schemeClr>
                </a:solidFill>
              </a:ln>
              <a:effectLst/>
            </c:spPr>
            <c:extLst>
              <c:ext xmlns:c16="http://schemas.microsoft.com/office/drawing/2014/chart" uri="{C3380CC4-5D6E-409C-BE32-E72D297353CC}">
                <c16:uniqueId val="{00000016-BF11-41A1-BB02-890FDABBA511}"/>
              </c:ext>
            </c:extLst>
          </c:dPt>
          <c:dLbls>
            <c:dLbl>
              <c:idx val="0"/>
              <c:layout>
                <c:manualLayout>
                  <c:x val="1.2578616352201316E-2"/>
                  <c:y val="-9.9367660343270131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7-BF11-41A1-BB02-890FDABBA511}"/>
                </c:ext>
              </c:extLst>
            </c:dLbl>
            <c:dLbl>
              <c:idx val="1"/>
              <c:layout>
                <c:manualLayout>
                  <c:x val="3.1446540880503145E-2"/>
                  <c:y val="-8.431195423065344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F11-41A1-BB02-890FDABBA511}"/>
                </c:ext>
              </c:extLst>
            </c:dLbl>
            <c:dLbl>
              <c:idx val="2"/>
              <c:layout>
                <c:manualLayout>
                  <c:x val="0.15723270440251572"/>
                  <c:y val="-0.1355013550135501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BF11-41A1-BB02-890FDABBA511}"/>
                </c:ext>
              </c:extLst>
            </c:dLbl>
            <c:dLbl>
              <c:idx val="3"/>
              <c:layout>
                <c:manualLayout>
                  <c:x val="5.9748427672955975E-2"/>
                  <c:y val="-5.721168322794344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F11-41A1-BB02-890FDABBA511}"/>
                </c:ext>
              </c:extLst>
            </c:dLbl>
            <c:dLbl>
              <c:idx val="4"/>
              <c:layout>
                <c:manualLayout>
                  <c:x val="9.1194968553459113E-2"/>
                  <c:y val="-3.6133694670280034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BF11-41A1-BB02-890FDABBA511}"/>
                </c:ext>
              </c:extLst>
            </c:dLbl>
            <c:dLbl>
              <c:idx val="5"/>
              <c:layout>
                <c:manualLayout>
                  <c:x val="8.4905660377358486E-2"/>
                  <c:y val="-1.806684733514012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F11-41A1-BB02-890FDABBA511}"/>
                </c:ext>
              </c:extLst>
            </c:dLbl>
            <c:dLbl>
              <c:idx val="6"/>
              <c:layout>
                <c:manualLayout>
                  <c:x val="0.12264150943396226"/>
                  <c:y val="2.710027100271002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BF11-41A1-BB02-890FDABBA511}"/>
                </c:ext>
              </c:extLst>
            </c:dLbl>
            <c:dLbl>
              <c:idx val="7"/>
              <c:layout>
                <c:manualLayout>
                  <c:x val="0.10377358490566038"/>
                  <c:y val="4.8178259560373381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F11-41A1-BB02-890FDABBA511}"/>
                </c:ext>
              </c:extLst>
            </c:dLbl>
            <c:dLbl>
              <c:idx val="8"/>
              <c:layout>
                <c:manualLayout>
                  <c:x val="6.2893081761006289E-2"/>
                  <c:y val="5.7211683227943282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BF11-41A1-BB02-890FDABBA511}"/>
                </c:ext>
              </c:extLst>
            </c:dLbl>
            <c:dLbl>
              <c:idx val="9"/>
              <c:layout>
                <c:manualLayout>
                  <c:x val="0.11006289308176101"/>
                  <c:y val="0.1535682023486901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BF11-41A1-BB02-890FDABBA511}"/>
                </c:ext>
              </c:extLst>
            </c:dLbl>
            <c:dLbl>
              <c:idx val="10"/>
              <c:layout>
                <c:manualLayout>
                  <c:x val="1.5723270440251572E-2"/>
                  <c:y val="6.9256248118036851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A-BF11-41A1-BB02-890FDABBA511}"/>
                </c:ext>
              </c:extLst>
            </c:dLbl>
            <c:dLbl>
              <c:idx val="11"/>
              <c:layout>
                <c:manualLayout>
                  <c:x val="3.1446540880503027E-2"/>
                  <c:y val="0.1385124962360733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BF11-41A1-BB02-890FDABBA511}"/>
                </c:ext>
              </c:extLst>
            </c:dLbl>
            <c:dLbl>
              <c:idx val="12"/>
              <c:layout>
                <c:manualLayout>
                  <c:x val="-1.8867924528301945E-2"/>
                  <c:y val="0.11442336645588679"/>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C-BF11-41A1-BB02-890FDABBA511}"/>
                </c:ext>
              </c:extLst>
            </c:dLbl>
            <c:dLbl>
              <c:idx val="13"/>
              <c:layout>
                <c:manualLayout>
                  <c:x val="-2.8301886792452886E-2"/>
                  <c:y val="9.033423667569998E-2"/>
                </c:manualLayout>
              </c:layout>
              <c:showLegendKey val="0"/>
              <c:showVal val="0"/>
              <c:showCatName val="1"/>
              <c:showSerName val="0"/>
              <c:showPercent val="1"/>
              <c:showBubbleSize val="0"/>
              <c:extLst>
                <c:ext xmlns:c15="http://schemas.microsoft.com/office/drawing/2012/chart" uri="{CE6537A1-D6FC-4f65-9D91-7224C49458BB}">
                  <c15:layout>
                    <c:manualLayout>
                      <c:w val="0.18264150943396226"/>
                      <c:h val="8.2535380909364645E-2"/>
                    </c:manualLayout>
                  </c15:layout>
                </c:ext>
                <c:ext xmlns:c16="http://schemas.microsoft.com/office/drawing/2014/chart" uri="{C3380CC4-5D6E-409C-BE32-E72D297353CC}">
                  <c16:uniqueId val="{0000000D-BF11-41A1-BB02-890FDABBA511}"/>
                </c:ext>
              </c:extLst>
            </c:dLbl>
            <c:dLbl>
              <c:idx val="14"/>
              <c:layout>
                <c:manualLayout>
                  <c:x val="-8.1761006289308172E-2"/>
                  <c:y val="8.130081300813007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E-BF11-41A1-BB02-890FDABBA511}"/>
                </c:ext>
              </c:extLst>
            </c:dLbl>
            <c:dLbl>
              <c:idx val="15"/>
              <c:layout>
                <c:manualLayout>
                  <c:x val="-0.16037735849056603"/>
                  <c:y val="8.73230954531766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BF11-41A1-BB02-890FDABBA511}"/>
                </c:ext>
              </c:extLst>
            </c:dLbl>
            <c:dLbl>
              <c:idx val="16"/>
              <c:layout>
                <c:manualLayout>
                  <c:x val="-8.4905660377358486E-2"/>
                  <c:y val="-1.806684733514012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0-BF11-41A1-BB02-890FDABBA511}"/>
                </c:ext>
              </c:extLst>
            </c:dLbl>
            <c:dLbl>
              <c:idx val="17"/>
              <c:layout>
                <c:manualLayout>
                  <c:x val="-0.10062893081761007"/>
                  <c:y val="-4.8178259560373381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BF11-41A1-BB02-890FDABBA511}"/>
                </c:ext>
              </c:extLst>
            </c:dLbl>
            <c:dLbl>
              <c:idx val="18"/>
              <c:layout>
                <c:manualLayout>
                  <c:x val="-0.10377358490566038"/>
                  <c:y val="-0.132490213791026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2-BF11-41A1-BB02-890FDABBA511}"/>
                </c:ext>
              </c:extLst>
            </c:dLbl>
            <c:dLbl>
              <c:idx val="19"/>
              <c:layout>
                <c:manualLayout>
                  <c:x val="-5.9748427672955975E-2"/>
                  <c:y val="-9.3345377898223433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BF11-41A1-BB02-890FDABBA511}"/>
                </c:ext>
              </c:extLst>
            </c:dLbl>
            <c:dLbl>
              <c:idx val="20"/>
              <c:layout>
                <c:manualLayout>
                  <c:x val="-3.1446540880503145E-2"/>
                  <c:y val="-0.1084010840108401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4-BF11-41A1-BB02-890FDABBA511}"/>
                </c:ext>
              </c:extLst>
            </c:dLbl>
            <c:dLbl>
              <c:idx val="21"/>
              <c:layout>
                <c:manualLayout>
                  <c:x val="-3.1446540880503723E-3"/>
                  <c:y val="-0.156579343571213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5-BF11-41A1-BB02-890FDABBA511}"/>
                </c:ext>
              </c:extLst>
            </c:dLbl>
            <c:dLbl>
              <c:idx val="22"/>
              <c:layout>
                <c:manualLayout>
                  <c:x val="-1.8867924528301886E-2"/>
                  <c:y val="-0.156579343571213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6-BF11-41A1-BB02-890FDABBA51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Sheet1!$A$2:$A$23</c:f>
              <c:strCache>
                <c:ptCount val="22"/>
                <c:pt idx="0">
                  <c:v>NCEI</c:v>
                </c:pt>
                <c:pt idx="1">
                  <c:v>STAR</c:v>
                </c:pt>
                <c:pt idx="2">
                  <c:v>Other NESDIS</c:v>
                </c:pt>
                <c:pt idx="3">
                  <c:v>AKFSC</c:v>
                </c:pt>
                <c:pt idx="4">
                  <c:v>NEFSC</c:v>
                </c:pt>
                <c:pt idx="5">
                  <c:v>NWFSC</c:v>
                </c:pt>
                <c:pt idx="6">
                  <c:v>PIFSC</c:v>
                </c:pt>
                <c:pt idx="7">
                  <c:v>SEFSC</c:v>
                </c:pt>
                <c:pt idx="8">
                  <c:v>SWFSC</c:v>
                </c:pt>
                <c:pt idx="9">
                  <c:v>Other NMFS</c:v>
                </c:pt>
                <c:pt idx="10">
                  <c:v>NCCOS</c:v>
                </c:pt>
                <c:pt idx="11">
                  <c:v>Other NOS</c:v>
                </c:pt>
                <c:pt idx="12">
                  <c:v>CPC</c:v>
                </c:pt>
                <c:pt idx="13">
                  <c:v>Other NWS</c:v>
                </c:pt>
                <c:pt idx="14">
                  <c:v>AOML</c:v>
                </c:pt>
                <c:pt idx="15">
                  <c:v>ARL</c:v>
                </c:pt>
                <c:pt idx="16">
                  <c:v>ESRL</c:v>
                </c:pt>
                <c:pt idx="17">
                  <c:v>GFDL</c:v>
                </c:pt>
                <c:pt idx="18">
                  <c:v>GLERL</c:v>
                </c:pt>
                <c:pt idx="19">
                  <c:v>NSSL</c:v>
                </c:pt>
                <c:pt idx="20">
                  <c:v>PMEL</c:v>
                </c:pt>
                <c:pt idx="21">
                  <c:v>Other OAR</c:v>
                </c:pt>
              </c:strCache>
            </c:strRef>
          </c:cat>
          <c:val>
            <c:numRef>
              <c:f>Sheet1!$B$2:$B$23</c:f>
              <c:numCache>
                <c:formatCode>General</c:formatCode>
                <c:ptCount val="22"/>
                <c:pt idx="0">
                  <c:v>71</c:v>
                </c:pt>
                <c:pt idx="1">
                  <c:v>125</c:v>
                </c:pt>
                <c:pt idx="2">
                  <c:v>10</c:v>
                </c:pt>
                <c:pt idx="3">
                  <c:v>151</c:v>
                </c:pt>
                <c:pt idx="4">
                  <c:v>88</c:v>
                </c:pt>
                <c:pt idx="5">
                  <c:v>172</c:v>
                </c:pt>
                <c:pt idx="6">
                  <c:v>58</c:v>
                </c:pt>
                <c:pt idx="7">
                  <c:v>77</c:v>
                </c:pt>
                <c:pt idx="8">
                  <c:v>168</c:v>
                </c:pt>
                <c:pt idx="9">
                  <c:v>66</c:v>
                </c:pt>
                <c:pt idx="10">
                  <c:v>71</c:v>
                </c:pt>
                <c:pt idx="11">
                  <c:v>66</c:v>
                </c:pt>
                <c:pt idx="12">
                  <c:v>43</c:v>
                </c:pt>
                <c:pt idx="13">
                  <c:v>174</c:v>
                </c:pt>
                <c:pt idx="14">
                  <c:v>98</c:v>
                </c:pt>
                <c:pt idx="15">
                  <c:v>27</c:v>
                </c:pt>
                <c:pt idx="16">
                  <c:v>359</c:v>
                </c:pt>
                <c:pt idx="17">
                  <c:v>141</c:v>
                </c:pt>
                <c:pt idx="18">
                  <c:v>31</c:v>
                </c:pt>
                <c:pt idx="19">
                  <c:v>65</c:v>
                </c:pt>
                <c:pt idx="20">
                  <c:v>88</c:v>
                </c:pt>
                <c:pt idx="21">
                  <c:v>64</c:v>
                </c:pt>
              </c:numCache>
            </c:numRef>
          </c:val>
          <c:extLst>
            <c:ext xmlns:c16="http://schemas.microsoft.com/office/drawing/2014/chart" uri="{C3380CC4-5D6E-409C-BE32-E72D297353CC}">
              <c16:uniqueId val="{00000000-BF11-41A1-BB02-890FDABBA511}"/>
            </c:ext>
          </c:extLst>
        </c:ser>
        <c:dLbls>
          <c:showLegendKey val="0"/>
          <c:showVal val="0"/>
          <c:showCatName val="0"/>
          <c:showSerName val="0"/>
          <c:showPercent val="0"/>
          <c:showBubbleSize val="0"/>
          <c:showLeaderLines val="1"/>
        </c:dLbls>
        <c:firstSliceAng val="0"/>
        <c:holeSize val="25"/>
      </c:doughnutChart>
      <c:spPr>
        <a:noFill/>
        <a:ln>
          <a:noFill/>
        </a:ln>
        <a:effectLst/>
      </c:spPr>
    </c:plotArea>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solidFill>
                  <a:schemeClr val="tx2"/>
                </a:solidFill>
              </a:rPr>
              <a:t>Extramural Collaborations</a:t>
            </a:r>
          </a:p>
        </c:rich>
      </c:tx>
      <c:layout>
        <c:manualLayout>
          <c:xMode val="edge"/>
          <c:yMode val="edge"/>
          <c:x val="1.4536095609408047E-2"/>
          <c:y val="1.7841665140694611E-3"/>
        </c:manualLayout>
      </c:layout>
      <c:overlay val="0"/>
    </c:title>
    <c:autoTitleDeleted val="0"/>
    <c:plotArea>
      <c:layout>
        <c:manualLayout>
          <c:layoutTarget val="inner"/>
          <c:xMode val="edge"/>
          <c:yMode val="edge"/>
          <c:x val="0.27330275463139925"/>
          <c:y val="9.9697775873254013E-2"/>
          <c:w val="0.68656235931673548"/>
          <c:h val="0.7690609145320858"/>
        </c:manualLayout>
      </c:layout>
      <c:barChart>
        <c:barDir val="bar"/>
        <c:grouping val="clustered"/>
        <c:varyColors val="0"/>
        <c:ser>
          <c:idx val="0"/>
          <c:order val="0"/>
          <c:tx>
            <c:strRef>
              <c:f>Sheet1!$B$1</c:f>
              <c:strCache>
                <c:ptCount val="1"/>
                <c:pt idx="0">
                  <c:v>Articles</c:v>
                </c:pt>
              </c:strCache>
            </c:strRef>
          </c:tx>
          <c:spPr>
            <a:gradFill>
              <a:gsLst>
                <a:gs pos="0">
                  <a:srgbClr val="4F81BD"/>
                </a:gs>
                <a:gs pos="85000">
                  <a:srgbClr val="4F81BD">
                    <a:tint val="44500"/>
                    <a:satMod val="160000"/>
                  </a:srgbClr>
                </a:gs>
                <a:gs pos="100000">
                  <a:srgbClr val="4F81BD">
                    <a:tint val="23500"/>
                    <a:satMod val="160000"/>
                  </a:srgbClr>
                </a:gs>
              </a:gsLst>
              <a:lin ang="10800000" scaled="1"/>
            </a:gradFill>
          </c:spPr>
          <c:invertIfNegative val="0"/>
          <c:dPt>
            <c:idx val="0"/>
            <c:invertIfNegative val="0"/>
            <c:bubble3D val="0"/>
            <c:extLst>
              <c:ext xmlns:c16="http://schemas.microsoft.com/office/drawing/2014/chart" uri="{C3380CC4-5D6E-409C-BE32-E72D297353CC}">
                <c16:uniqueId val="{00000000-E44B-4AE2-938A-160ADE556578}"/>
              </c:ext>
            </c:extLst>
          </c:dPt>
          <c:dPt>
            <c:idx val="1"/>
            <c:invertIfNegative val="0"/>
            <c:bubble3D val="0"/>
            <c:extLst>
              <c:ext xmlns:c16="http://schemas.microsoft.com/office/drawing/2014/chart" uri="{C3380CC4-5D6E-409C-BE32-E72D297353CC}">
                <c16:uniqueId val="{00000001-E44B-4AE2-938A-160ADE556578}"/>
              </c:ext>
            </c:extLst>
          </c:dPt>
          <c:dPt>
            <c:idx val="2"/>
            <c:invertIfNegative val="0"/>
            <c:bubble3D val="0"/>
            <c:extLst>
              <c:ext xmlns:c16="http://schemas.microsoft.com/office/drawing/2014/chart" uri="{C3380CC4-5D6E-409C-BE32-E72D297353CC}">
                <c16:uniqueId val="{00000003-E44B-4AE2-938A-160ADE556578}"/>
              </c:ext>
            </c:extLst>
          </c:dPt>
          <c:dPt>
            <c:idx val="3"/>
            <c:invertIfNegative val="0"/>
            <c:bubble3D val="0"/>
            <c:extLst>
              <c:ext xmlns:c16="http://schemas.microsoft.com/office/drawing/2014/chart" uri="{C3380CC4-5D6E-409C-BE32-E72D297353CC}">
                <c16:uniqueId val="{00000005-E44B-4AE2-938A-160ADE556578}"/>
              </c:ext>
            </c:extLst>
          </c:dPt>
          <c:dPt>
            <c:idx val="4"/>
            <c:invertIfNegative val="0"/>
            <c:bubble3D val="0"/>
            <c:extLst>
              <c:ext xmlns:c16="http://schemas.microsoft.com/office/drawing/2014/chart" uri="{C3380CC4-5D6E-409C-BE32-E72D297353CC}">
                <c16:uniqueId val="{00000006-E44B-4AE2-938A-160ADE556578}"/>
              </c:ext>
            </c:extLst>
          </c:dPt>
          <c:dPt>
            <c:idx val="5"/>
            <c:invertIfNegative val="0"/>
            <c:bubble3D val="0"/>
            <c:extLst>
              <c:ext xmlns:c16="http://schemas.microsoft.com/office/drawing/2014/chart" uri="{C3380CC4-5D6E-409C-BE32-E72D297353CC}">
                <c16:uniqueId val="{00000007-E44B-4AE2-938A-160ADE556578}"/>
              </c:ext>
            </c:extLst>
          </c:dPt>
          <c:dPt>
            <c:idx val="6"/>
            <c:invertIfNegative val="0"/>
            <c:bubble3D val="0"/>
            <c:extLst>
              <c:ext xmlns:c16="http://schemas.microsoft.com/office/drawing/2014/chart" uri="{C3380CC4-5D6E-409C-BE32-E72D297353CC}">
                <c16:uniqueId val="{00000009-E44B-4AE2-938A-160ADE556578}"/>
              </c:ext>
            </c:extLst>
          </c:dPt>
          <c:dPt>
            <c:idx val="7"/>
            <c:invertIfNegative val="0"/>
            <c:bubble3D val="0"/>
            <c:extLst>
              <c:ext xmlns:c16="http://schemas.microsoft.com/office/drawing/2014/chart" uri="{C3380CC4-5D6E-409C-BE32-E72D297353CC}">
                <c16:uniqueId val="{0000000A-E44B-4AE2-938A-160ADE556578}"/>
              </c:ext>
            </c:extLst>
          </c:dPt>
          <c:dPt>
            <c:idx val="8"/>
            <c:invertIfNegative val="0"/>
            <c:bubble3D val="0"/>
            <c:extLst>
              <c:ext xmlns:c16="http://schemas.microsoft.com/office/drawing/2014/chart" uri="{C3380CC4-5D6E-409C-BE32-E72D297353CC}">
                <c16:uniqueId val="{0000000B-E44B-4AE2-938A-160ADE556578}"/>
              </c:ext>
            </c:extLst>
          </c:dPt>
          <c:dPt>
            <c:idx val="9"/>
            <c:invertIfNegative val="0"/>
            <c:bubble3D val="0"/>
            <c:extLst>
              <c:ext xmlns:c16="http://schemas.microsoft.com/office/drawing/2014/chart" uri="{C3380CC4-5D6E-409C-BE32-E72D297353CC}">
                <c16:uniqueId val="{0000000C-E44B-4AE2-938A-160ADE556578}"/>
              </c:ext>
            </c:extLst>
          </c:dPt>
          <c:dPt>
            <c:idx val="10"/>
            <c:invertIfNegative val="0"/>
            <c:bubble3D val="0"/>
            <c:extLst>
              <c:ext xmlns:c16="http://schemas.microsoft.com/office/drawing/2014/chart" uri="{C3380CC4-5D6E-409C-BE32-E72D297353CC}">
                <c16:uniqueId val="{0000000D-E44B-4AE2-938A-160ADE556578}"/>
              </c:ext>
            </c:extLst>
          </c:dPt>
          <c:dPt>
            <c:idx val="11"/>
            <c:invertIfNegative val="0"/>
            <c:bubble3D val="0"/>
            <c:extLst>
              <c:ext xmlns:c16="http://schemas.microsoft.com/office/drawing/2014/chart" uri="{C3380CC4-5D6E-409C-BE32-E72D297353CC}">
                <c16:uniqueId val="{0000000E-E44B-4AE2-938A-160ADE556578}"/>
              </c:ext>
            </c:extLst>
          </c:dPt>
          <c:dPt>
            <c:idx val="12"/>
            <c:invertIfNegative val="0"/>
            <c:bubble3D val="0"/>
            <c:extLst>
              <c:ext xmlns:c16="http://schemas.microsoft.com/office/drawing/2014/chart" uri="{C3380CC4-5D6E-409C-BE32-E72D297353CC}">
                <c16:uniqueId val="{0000000F-E44B-4AE2-938A-160ADE556578}"/>
              </c:ext>
            </c:extLst>
          </c:dPt>
          <c:dPt>
            <c:idx val="13"/>
            <c:invertIfNegative val="0"/>
            <c:bubble3D val="0"/>
            <c:extLst>
              <c:ext xmlns:c16="http://schemas.microsoft.com/office/drawing/2014/chart" uri="{C3380CC4-5D6E-409C-BE32-E72D297353CC}">
                <c16:uniqueId val="{00000010-E44B-4AE2-938A-160ADE556578}"/>
              </c:ext>
            </c:extLst>
          </c:dPt>
          <c:dPt>
            <c:idx val="14"/>
            <c:invertIfNegative val="0"/>
            <c:bubble3D val="0"/>
            <c:extLst>
              <c:ext xmlns:c16="http://schemas.microsoft.com/office/drawing/2014/chart" uri="{C3380CC4-5D6E-409C-BE32-E72D297353CC}">
                <c16:uniqueId val="{00000012-E44B-4AE2-938A-160ADE556578}"/>
              </c:ext>
            </c:extLst>
          </c:dPt>
          <c:cat>
            <c:strRef>
              <c:f>Sheet1!$A$2:$A$16</c:f>
              <c:strCache>
                <c:ptCount val="15"/>
                <c:pt idx="0">
                  <c:v>Helmholtz Association</c:v>
                </c:pt>
                <c:pt idx="1">
                  <c:v>Cent Natl Rech Sci (CNRS)</c:v>
                </c:pt>
                <c:pt idx="2">
                  <c:v>U.S. Dept Energy</c:v>
                </c:pt>
                <c:pt idx="3">
                  <c:v>Orego State Univ</c:v>
                </c:pt>
                <c:pt idx="4">
                  <c:v>Colorado State Univ</c:v>
                </c:pt>
                <c:pt idx="5">
                  <c:v>State Univ Sys of Florida</c:v>
                </c:pt>
                <c:pt idx="6">
                  <c:v>Princeton University</c:v>
                </c:pt>
                <c:pt idx="7">
                  <c:v>U.S. Dept Interior</c:v>
                </c:pt>
                <c:pt idx="8">
                  <c:v>Univ of Miami</c:v>
                </c:pt>
                <c:pt idx="9">
                  <c:v>Univ System of Maryland</c:v>
                </c:pt>
                <c:pt idx="10">
                  <c:v>Natl Cent Atmos Res (NCAR)</c:v>
                </c:pt>
                <c:pt idx="11">
                  <c:v>Univ of Washington</c:v>
                </c:pt>
                <c:pt idx="12">
                  <c:v>Natl Aero Space Admin (NASA)</c:v>
                </c:pt>
                <c:pt idx="13">
                  <c:v>Univ of California System</c:v>
                </c:pt>
                <c:pt idx="14">
                  <c:v>Univ of Colorado System</c:v>
                </c:pt>
              </c:strCache>
            </c:strRef>
          </c:cat>
          <c:val>
            <c:numRef>
              <c:f>Sheet1!$B$2:$B$16</c:f>
              <c:numCache>
                <c:formatCode>General</c:formatCode>
                <c:ptCount val="15"/>
                <c:pt idx="0">
                  <c:v>67</c:v>
                </c:pt>
                <c:pt idx="1">
                  <c:v>70</c:v>
                </c:pt>
                <c:pt idx="2">
                  <c:v>73</c:v>
                </c:pt>
                <c:pt idx="3">
                  <c:v>82</c:v>
                </c:pt>
                <c:pt idx="4">
                  <c:v>85</c:v>
                </c:pt>
                <c:pt idx="5">
                  <c:v>87</c:v>
                </c:pt>
                <c:pt idx="6">
                  <c:v>96</c:v>
                </c:pt>
                <c:pt idx="7">
                  <c:v>105</c:v>
                </c:pt>
                <c:pt idx="8">
                  <c:v>107</c:v>
                </c:pt>
                <c:pt idx="9">
                  <c:v>120</c:v>
                </c:pt>
                <c:pt idx="10">
                  <c:v>133</c:v>
                </c:pt>
                <c:pt idx="11">
                  <c:v>190</c:v>
                </c:pt>
                <c:pt idx="12">
                  <c:v>236</c:v>
                </c:pt>
                <c:pt idx="13">
                  <c:v>260</c:v>
                </c:pt>
                <c:pt idx="14">
                  <c:v>298</c:v>
                </c:pt>
              </c:numCache>
            </c:numRef>
          </c:val>
          <c:extLst>
            <c:ext xmlns:c16="http://schemas.microsoft.com/office/drawing/2014/chart" uri="{C3380CC4-5D6E-409C-BE32-E72D297353CC}">
              <c16:uniqueId val="{00000013-E44B-4AE2-938A-160ADE556578}"/>
            </c:ext>
          </c:extLst>
        </c:ser>
        <c:dLbls>
          <c:showLegendKey val="0"/>
          <c:showVal val="0"/>
          <c:showCatName val="0"/>
          <c:showSerName val="0"/>
          <c:showPercent val="0"/>
          <c:showBubbleSize val="0"/>
        </c:dLbls>
        <c:gapWidth val="25"/>
        <c:overlap val="10"/>
        <c:axId val="120189952"/>
        <c:axId val="118590272"/>
      </c:barChart>
      <c:catAx>
        <c:axId val="120189952"/>
        <c:scaling>
          <c:orientation val="minMax"/>
        </c:scaling>
        <c:delete val="0"/>
        <c:axPos val="l"/>
        <c:numFmt formatCode="General" sourceLinked="1"/>
        <c:majorTickMark val="out"/>
        <c:minorTickMark val="none"/>
        <c:tickLblPos val="nextTo"/>
        <c:crossAx val="118590272"/>
        <c:crosses val="autoZero"/>
        <c:auto val="1"/>
        <c:lblAlgn val="ctr"/>
        <c:lblOffset val="100"/>
        <c:noMultiLvlLbl val="0"/>
      </c:catAx>
      <c:valAx>
        <c:axId val="118590272"/>
        <c:scaling>
          <c:orientation val="minMax"/>
          <c:max val="300"/>
        </c:scaling>
        <c:delete val="0"/>
        <c:axPos val="b"/>
        <c:majorGridlines>
          <c:spPr>
            <a:ln>
              <a:solidFill>
                <a:srgbClr val="4F81BD">
                  <a:lumMod val="40000"/>
                  <a:lumOff val="60000"/>
                </a:srgbClr>
              </a:solidFill>
            </a:ln>
          </c:spPr>
        </c:majorGridlines>
        <c:title>
          <c:tx>
            <c:rich>
              <a:bodyPr/>
              <a:lstStyle/>
              <a:p>
                <a:pPr>
                  <a:defRPr/>
                </a:pPr>
                <a:r>
                  <a:rPr lang="en-US"/>
                  <a:t>Number of articles</a:t>
                </a:r>
              </a:p>
            </c:rich>
          </c:tx>
          <c:layout>
            <c:manualLayout>
              <c:xMode val="edge"/>
              <c:yMode val="edge"/>
              <c:x val="0.52685897272549664"/>
              <c:y val="0.9384083937398644"/>
            </c:manualLayout>
          </c:layout>
          <c:overlay val="0"/>
        </c:title>
        <c:numFmt formatCode="General" sourceLinked="1"/>
        <c:majorTickMark val="out"/>
        <c:minorTickMark val="none"/>
        <c:tickLblPos val="nextTo"/>
        <c:crossAx val="120189952"/>
        <c:crosses val="autoZero"/>
        <c:crossBetween val="between"/>
        <c:majorUnit val="25"/>
      </c:valAx>
    </c:plotArea>
    <c:plotVisOnly val="1"/>
    <c:dispBlanksAs val="gap"/>
    <c:showDLblsOverMax val="0"/>
  </c:chart>
  <c:spPr>
    <a:ln w="19050">
      <a:solidFill>
        <a:srgbClr val="4F81BD"/>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solidFill>
                  <a:schemeClr val="tx2"/>
                </a:solidFill>
              </a:rPr>
              <a:t>Articles Per Quarter</a:t>
            </a:r>
            <a:r>
              <a:rPr lang="en-US" sz="1400" baseline="0">
                <a:solidFill>
                  <a:schemeClr val="tx2"/>
                </a:solidFill>
              </a:rPr>
              <a:t> FY2012-2018</a:t>
            </a:r>
            <a:endParaRPr lang="en-US" sz="1400">
              <a:solidFill>
                <a:schemeClr val="tx2"/>
              </a:solidFill>
            </a:endParaRPr>
          </a:p>
        </c:rich>
      </c:tx>
      <c:layout>
        <c:manualLayout>
          <c:xMode val="edge"/>
          <c:yMode val="edge"/>
          <c:x val="1.7100057614749375E-2"/>
          <c:y val="1.9841211437355379E-2"/>
        </c:manualLayout>
      </c:layout>
      <c:overlay val="0"/>
    </c:title>
    <c:autoTitleDeleted val="0"/>
    <c:plotArea>
      <c:layout/>
      <c:barChart>
        <c:barDir val="col"/>
        <c:grouping val="clustered"/>
        <c:varyColors val="0"/>
        <c:ser>
          <c:idx val="0"/>
          <c:order val="0"/>
          <c:tx>
            <c:strRef>
              <c:f>Sheet1!$B$1</c:f>
              <c:strCache>
                <c:ptCount val="1"/>
                <c:pt idx="0">
                  <c:v>2012</c:v>
                </c:pt>
              </c:strCache>
            </c:strRef>
          </c:tx>
          <c:invertIfNegative val="0"/>
          <c:dLbls>
            <c:spPr>
              <a:noFill/>
              <a:ln>
                <a:noFill/>
              </a:ln>
              <a:effectLst/>
            </c:spPr>
            <c:txPr>
              <a:bodyPr rot="-5400000" vert="horz"/>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Quarter 1</c:v>
                </c:pt>
                <c:pt idx="1">
                  <c:v>Quarter 2</c:v>
                </c:pt>
                <c:pt idx="2">
                  <c:v>Quarter 3</c:v>
                </c:pt>
                <c:pt idx="3">
                  <c:v>Quarter 4</c:v>
                </c:pt>
              </c:strCache>
            </c:strRef>
          </c:cat>
          <c:val>
            <c:numRef>
              <c:f>Sheet1!$B$2:$B$5</c:f>
              <c:numCache>
                <c:formatCode>General</c:formatCode>
                <c:ptCount val="4"/>
                <c:pt idx="0">
                  <c:v>444</c:v>
                </c:pt>
                <c:pt idx="1">
                  <c:v>463</c:v>
                </c:pt>
                <c:pt idx="2">
                  <c:v>439</c:v>
                </c:pt>
                <c:pt idx="3">
                  <c:v>470</c:v>
                </c:pt>
              </c:numCache>
            </c:numRef>
          </c:val>
          <c:extLst>
            <c:ext xmlns:c16="http://schemas.microsoft.com/office/drawing/2014/chart" uri="{C3380CC4-5D6E-409C-BE32-E72D297353CC}">
              <c16:uniqueId val="{00000000-3609-4C14-9FD2-22908BA901A8}"/>
            </c:ext>
          </c:extLst>
        </c:ser>
        <c:ser>
          <c:idx val="1"/>
          <c:order val="1"/>
          <c:tx>
            <c:strRef>
              <c:f>Sheet1!$C$1</c:f>
              <c:strCache>
                <c:ptCount val="1"/>
                <c:pt idx="0">
                  <c:v>2013</c:v>
                </c:pt>
              </c:strCache>
            </c:strRef>
          </c:tx>
          <c:invertIfNegative val="0"/>
          <c:dLbls>
            <c:spPr>
              <a:noFill/>
              <a:ln>
                <a:noFill/>
              </a:ln>
              <a:effectLst/>
            </c:spPr>
            <c:txPr>
              <a:bodyPr rot="-5400000" vert="horz"/>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Quarter 1</c:v>
                </c:pt>
                <c:pt idx="1">
                  <c:v>Quarter 2</c:v>
                </c:pt>
                <c:pt idx="2">
                  <c:v>Quarter 3</c:v>
                </c:pt>
                <c:pt idx="3">
                  <c:v>Quarter 4</c:v>
                </c:pt>
              </c:strCache>
            </c:strRef>
          </c:cat>
          <c:val>
            <c:numRef>
              <c:f>Sheet1!$C$2:$C$5</c:f>
              <c:numCache>
                <c:formatCode>General</c:formatCode>
                <c:ptCount val="4"/>
                <c:pt idx="0">
                  <c:v>435</c:v>
                </c:pt>
                <c:pt idx="1">
                  <c:v>478</c:v>
                </c:pt>
                <c:pt idx="2">
                  <c:v>502</c:v>
                </c:pt>
                <c:pt idx="3">
                  <c:v>498</c:v>
                </c:pt>
              </c:numCache>
            </c:numRef>
          </c:val>
          <c:extLst>
            <c:ext xmlns:c16="http://schemas.microsoft.com/office/drawing/2014/chart" uri="{C3380CC4-5D6E-409C-BE32-E72D297353CC}">
              <c16:uniqueId val="{00000001-3609-4C14-9FD2-22908BA901A8}"/>
            </c:ext>
          </c:extLst>
        </c:ser>
        <c:ser>
          <c:idx val="2"/>
          <c:order val="2"/>
          <c:tx>
            <c:strRef>
              <c:f>Sheet1!$D$1</c:f>
              <c:strCache>
                <c:ptCount val="1"/>
                <c:pt idx="0">
                  <c:v>2014</c:v>
                </c:pt>
              </c:strCache>
            </c:strRef>
          </c:tx>
          <c:spPr>
            <a:solidFill>
              <a:schemeClr val="accent4"/>
            </a:solidFill>
          </c:spPr>
          <c:invertIfNegative val="0"/>
          <c:dLbls>
            <c:spPr>
              <a:noFill/>
              <a:ln>
                <a:noFill/>
              </a:ln>
              <a:effectLst/>
            </c:spPr>
            <c:txPr>
              <a:bodyPr rot="-5400000" vert="horz"/>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Quarter 1</c:v>
                </c:pt>
                <c:pt idx="1">
                  <c:v>Quarter 2</c:v>
                </c:pt>
                <c:pt idx="2">
                  <c:v>Quarter 3</c:v>
                </c:pt>
                <c:pt idx="3">
                  <c:v>Quarter 4</c:v>
                </c:pt>
              </c:strCache>
            </c:strRef>
          </c:cat>
          <c:val>
            <c:numRef>
              <c:f>Sheet1!$D$2:$D$5</c:f>
              <c:numCache>
                <c:formatCode>General</c:formatCode>
                <c:ptCount val="4"/>
                <c:pt idx="0">
                  <c:v>565</c:v>
                </c:pt>
                <c:pt idx="1">
                  <c:v>534</c:v>
                </c:pt>
                <c:pt idx="2">
                  <c:v>417</c:v>
                </c:pt>
                <c:pt idx="3">
                  <c:v>469</c:v>
                </c:pt>
              </c:numCache>
            </c:numRef>
          </c:val>
          <c:extLst>
            <c:ext xmlns:c16="http://schemas.microsoft.com/office/drawing/2014/chart" uri="{C3380CC4-5D6E-409C-BE32-E72D297353CC}">
              <c16:uniqueId val="{00000002-3609-4C14-9FD2-22908BA901A8}"/>
            </c:ext>
          </c:extLst>
        </c:ser>
        <c:ser>
          <c:idx val="3"/>
          <c:order val="3"/>
          <c:tx>
            <c:strRef>
              <c:f>Sheet1!$E$1</c:f>
              <c:strCache>
                <c:ptCount val="1"/>
                <c:pt idx="0">
                  <c:v>2015</c:v>
                </c:pt>
              </c:strCache>
            </c:strRef>
          </c:tx>
          <c:spPr>
            <a:solidFill>
              <a:schemeClr val="accent3"/>
            </a:solidFill>
          </c:spPr>
          <c:invertIfNegative val="0"/>
          <c:dLbls>
            <c:spPr>
              <a:noFill/>
              <a:ln>
                <a:noFill/>
              </a:ln>
              <a:effectLst/>
            </c:spPr>
            <c:txPr>
              <a:bodyPr rot="-5400000" vert="horz"/>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Quarter 1</c:v>
                </c:pt>
                <c:pt idx="1">
                  <c:v>Quarter 2</c:v>
                </c:pt>
                <c:pt idx="2">
                  <c:v>Quarter 3</c:v>
                </c:pt>
                <c:pt idx="3">
                  <c:v>Quarter 4</c:v>
                </c:pt>
              </c:strCache>
            </c:strRef>
          </c:cat>
          <c:val>
            <c:numRef>
              <c:f>Sheet1!$E$2:$E$5</c:f>
              <c:numCache>
                <c:formatCode>General</c:formatCode>
                <c:ptCount val="4"/>
                <c:pt idx="0">
                  <c:v>525</c:v>
                </c:pt>
                <c:pt idx="1">
                  <c:v>439</c:v>
                </c:pt>
                <c:pt idx="2">
                  <c:v>547</c:v>
                </c:pt>
                <c:pt idx="3">
                  <c:v>517</c:v>
                </c:pt>
              </c:numCache>
            </c:numRef>
          </c:val>
          <c:extLst>
            <c:ext xmlns:c16="http://schemas.microsoft.com/office/drawing/2014/chart" uri="{C3380CC4-5D6E-409C-BE32-E72D297353CC}">
              <c16:uniqueId val="{00000003-3609-4C14-9FD2-22908BA901A8}"/>
            </c:ext>
          </c:extLst>
        </c:ser>
        <c:ser>
          <c:idx val="4"/>
          <c:order val="4"/>
          <c:tx>
            <c:strRef>
              <c:f>Sheet1!$F$1</c:f>
              <c:strCache>
                <c:ptCount val="1"/>
                <c:pt idx="0">
                  <c:v>2016</c:v>
                </c:pt>
              </c:strCache>
            </c:strRef>
          </c:tx>
          <c:invertIfNegative val="0"/>
          <c:dLbls>
            <c:spPr>
              <a:noFill/>
              <a:ln>
                <a:noFill/>
              </a:ln>
              <a:effectLst/>
            </c:spPr>
            <c:txPr>
              <a:bodyPr rot="-5400000" vert="horz"/>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Quarter 1</c:v>
                </c:pt>
                <c:pt idx="1">
                  <c:v>Quarter 2</c:v>
                </c:pt>
                <c:pt idx="2">
                  <c:v>Quarter 3</c:v>
                </c:pt>
                <c:pt idx="3">
                  <c:v>Quarter 4</c:v>
                </c:pt>
              </c:strCache>
            </c:strRef>
          </c:cat>
          <c:val>
            <c:numRef>
              <c:f>Sheet1!$F$2:$F$5</c:f>
              <c:numCache>
                <c:formatCode>General</c:formatCode>
                <c:ptCount val="4"/>
                <c:pt idx="0">
                  <c:v>549</c:v>
                </c:pt>
                <c:pt idx="1">
                  <c:v>545</c:v>
                </c:pt>
                <c:pt idx="2">
                  <c:v>515</c:v>
                </c:pt>
                <c:pt idx="3">
                  <c:v>457</c:v>
                </c:pt>
              </c:numCache>
            </c:numRef>
          </c:val>
          <c:extLst>
            <c:ext xmlns:c16="http://schemas.microsoft.com/office/drawing/2014/chart" uri="{C3380CC4-5D6E-409C-BE32-E72D297353CC}">
              <c16:uniqueId val="{00000004-3609-4C14-9FD2-22908BA901A8}"/>
            </c:ext>
          </c:extLst>
        </c:ser>
        <c:ser>
          <c:idx val="5"/>
          <c:order val="5"/>
          <c:tx>
            <c:strRef>
              <c:f>Sheet1!$G$1</c:f>
              <c:strCache>
                <c:ptCount val="1"/>
                <c:pt idx="0">
                  <c:v>2017</c:v>
                </c:pt>
              </c:strCache>
            </c:strRef>
          </c:tx>
          <c:invertIfNegative val="0"/>
          <c:dLbls>
            <c:spPr>
              <a:noFill/>
              <a:ln>
                <a:noFill/>
              </a:ln>
              <a:effectLst/>
            </c:spPr>
            <c:txPr>
              <a:bodyPr rot="-5400000" vert="horz"/>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Quarter 1</c:v>
                </c:pt>
                <c:pt idx="1">
                  <c:v>Quarter 2</c:v>
                </c:pt>
                <c:pt idx="2">
                  <c:v>Quarter 3</c:v>
                </c:pt>
                <c:pt idx="3">
                  <c:v>Quarter 4</c:v>
                </c:pt>
              </c:strCache>
            </c:strRef>
          </c:cat>
          <c:val>
            <c:numRef>
              <c:f>Sheet1!$G$2:$G$5</c:f>
              <c:numCache>
                <c:formatCode>General</c:formatCode>
                <c:ptCount val="4"/>
                <c:pt idx="0">
                  <c:v>493</c:v>
                </c:pt>
                <c:pt idx="1">
                  <c:v>565</c:v>
                </c:pt>
                <c:pt idx="2">
                  <c:v>515</c:v>
                </c:pt>
                <c:pt idx="3">
                  <c:v>523</c:v>
                </c:pt>
              </c:numCache>
            </c:numRef>
          </c:val>
          <c:extLst>
            <c:ext xmlns:c16="http://schemas.microsoft.com/office/drawing/2014/chart" uri="{C3380CC4-5D6E-409C-BE32-E72D297353CC}">
              <c16:uniqueId val="{00000005-3609-4C14-9FD2-22908BA901A8}"/>
            </c:ext>
          </c:extLst>
        </c:ser>
        <c:ser>
          <c:idx val="6"/>
          <c:order val="6"/>
          <c:tx>
            <c:strRef>
              <c:f>Sheet1!$H$1</c:f>
              <c:strCache>
                <c:ptCount val="1"/>
                <c:pt idx="0">
                  <c:v>2018</c:v>
                </c:pt>
              </c:strCache>
            </c:strRef>
          </c:tx>
          <c:invertIfNegative val="0"/>
          <c:dLbls>
            <c:spPr>
              <a:noFill/>
              <a:ln>
                <a:noFill/>
              </a:ln>
              <a:effectLst/>
            </c:spPr>
            <c:txPr>
              <a:bodyPr rot="-5400000" vert="horz" wrap="square" lIns="38100" tIns="19050" rIns="38100" bIns="19050" anchor="ctr">
                <a:spAutoFit/>
              </a:bodyPr>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Sheet1!$A$2:$A$5</c:f>
              <c:strCache>
                <c:ptCount val="4"/>
                <c:pt idx="0">
                  <c:v>Quarter 1</c:v>
                </c:pt>
                <c:pt idx="1">
                  <c:v>Quarter 2</c:v>
                </c:pt>
                <c:pt idx="2">
                  <c:v>Quarter 3</c:v>
                </c:pt>
                <c:pt idx="3">
                  <c:v>Quarter 4</c:v>
                </c:pt>
              </c:strCache>
            </c:strRef>
          </c:cat>
          <c:val>
            <c:numRef>
              <c:f>Sheet1!$H$2:$H$5</c:f>
              <c:numCache>
                <c:formatCode>General</c:formatCode>
                <c:ptCount val="4"/>
                <c:pt idx="0">
                  <c:v>500</c:v>
                </c:pt>
                <c:pt idx="1">
                  <c:v>531</c:v>
                </c:pt>
                <c:pt idx="2">
                  <c:v>472</c:v>
                </c:pt>
                <c:pt idx="3">
                  <c:v>435</c:v>
                </c:pt>
              </c:numCache>
            </c:numRef>
          </c:val>
          <c:extLst>
            <c:ext xmlns:c16="http://schemas.microsoft.com/office/drawing/2014/chart" uri="{C3380CC4-5D6E-409C-BE32-E72D297353CC}">
              <c16:uniqueId val="{00000000-D696-4ED6-80C5-486418F958ED}"/>
            </c:ext>
          </c:extLst>
        </c:ser>
        <c:dLbls>
          <c:showLegendKey val="0"/>
          <c:showVal val="0"/>
          <c:showCatName val="0"/>
          <c:showSerName val="0"/>
          <c:showPercent val="0"/>
          <c:showBubbleSize val="0"/>
        </c:dLbls>
        <c:gapWidth val="50"/>
        <c:axId val="124379648"/>
        <c:axId val="118593152"/>
      </c:barChart>
      <c:catAx>
        <c:axId val="124379648"/>
        <c:scaling>
          <c:orientation val="minMax"/>
        </c:scaling>
        <c:delete val="0"/>
        <c:axPos val="b"/>
        <c:numFmt formatCode="General" sourceLinked="0"/>
        <c:majorTickMark val="out"/>
        <c:minorTickMark val="none"/>
        <c:tickLblPos val="nextTo"/>
        <c:crossAx val="118593152"/>
        <c:crosses val="autoZero"/>
        <c:auto val="1"/>
        <c:lblAlgn val="ctr"/>
        <c:lblOffset val="100"/>
        <c:noMultiLvlLbl val="0"/>
      </c:catAx>
      <c:valAx>
        <c:axId val="118593152"/>
        <c:scaling>
          <c:orientation val="minMax"/>
        </c:scaling>
        <c:delete val="0"/>
        <c:axPos val="l"/>
        <c:majorGridlines/>
        <c:title>
          <c:tx>
            <c:rich>
              <a:bodyPr rot="-5400000" vert="horz"/>
              <a:lstStyle/>
              <a:p>
                <a:pPr>
                  <a:defRPr/>
                </a:pPr>
                <a:r>
                  <a:rPr lang="en-US"/>
                  <a:t>Number</a:t>
                </a:r>
                <a:r>
                  <a:rPr lang="en-US" baseline="0"/>
                  <a:t> of articles</a:t>
                </a:r>
                <a:endParaRPr lang="en-US"/>
              </a:p>
            </c:rich>
          </c:tx>
          <c:layout>
            <c:manualLayout>
              <c:xMode val="edge"/>
              <c:yMode val="edge"/>
              <c:x val="1.3006653534839738E-2"/>
              <c:y val="0.35149508180636296"/>
            </c:manualLayout>
          </c:layout>
          <c:overlay val="0"/>
        </c:title>
        <c:numFmt formatCode="General" sourceLinked="1"/>
        <c:majorTickMark val="out"/>
        <c:minorTickMark val="none"/>
        <c:tickLblPos val="nextTo"/>
        <c:crossAx val="124379648"/>
        <c:crosses val="autoZero"/>
        <c:crossBetween val="between"/>
      </c:valAx>
    </c:plotArea>
    <c:legend>
      <c:legendPos val="r"/>
      <c:layout/>
      <c:overlay val="0"/>
    </c:legend>
    <c:plotVisOnly val="1"/>
    <c:dispBlanksAs val="gap"/>
    <c:showDLblsOverMax val="0"/>
  </c:chart>
  <c:spPr>
    <a:ln w="19050">
      <a:solidFill>
        <a:schemeClr val="accent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solidFill>
                  <a:schemeClr val="tx2"/>
                </a:solidFill>
              </a:rPr>
              <a:t>Articles Per Fiscal Year Per Line Office</a:t>
            </a:r>
          </a:p>
        </c:rich>
      </c:tx>
      <c:layout>
        <c:manualLayout>
          <c:xMode val="edge"/>
          <c:yMode val="edge"/>
          <c:x val="3.5133056284631085E-2"/>
          <c:y val="2.3809548890000785E-2"/>
        </c:manualLayout>
      </c:layout>
      <c:overlay val="0"/>
    </c:title>
    <c:autoTitleDeleted val="0"/>
    <c:plotArea>
      <c:layout>
        <c:manualLayout>
          <c:layoutTarget val="inner"/>
          <c:xMode val="edge"/>
          <c:yMode val="edge"/>
          <c:x val="0.1325483012540099"/>
          <c:y val="0.17673364408044318"/>
          <c:w val="0.70495169874598995"/>
          <c:h val="0.71155329664059574"/>
        </c:manualLayout>
      </c:layout>
      <c:lineChart>
        <c:grouping val="standard"/>
        <c:varyColors val="0"/>
        <c:ser>
          <c:idx val="0"/>
          <c:order val="0"/>
          <c:tx>
            <c:strRef>
              <c:f>Sheet1!$B$1</c:f>
              <c:strCache>
                <c:ptCount val="1"/>
                <c:pt idx="0">
                  <c:v>NESDIS</c:v>
                </c:pt>
              </c:strCache>
            </c:strRef>
          </c:tx>
          <c:cat>
            <c:strRef>
              <c:f>Sheet1!$A$2:$A$8</c:f>
              <c:strCache>
                <c:ptCount val="7"/>
                <c:pt idx="0">
                  <c:v>FY12</c:v>
                </c:pt>
                <c:pt idx="1">
                  <c:v>FY13</c:v>
                </c:pt>
                <c:pt idx="2">
                  <c:v>FY14</c:v>
                </c:pt>
                <c:pt idx="3">
                  <c:v>FY15</c:v>
                </c:pt>
                <c:pt idx="4">
                  <c:v>FY16</c:v>
                </c:pt>
                <c:pt idx="5">
                  <c:v>FY17</c:v>
                </c:pt>
                <c:pt idx="6">
                  <c:v>FY18</c:v>
                </c:pt>
              </c:strCache>
            </c:strRef>
          </c:cat>
          <c:val>
            <c:numRef>
              <c:f>Sheet1!$B$2:$B$8</c:f>
              <c:numCache>
                <c:formatCode>General</c:formatCode>
                <c:ptCount val="7"/>
                <c:pt idx="0">
                  <c:v>219</c:v>
                </c:pt>
                <c:pt idx="1">
                  <c:v>261</c:v>
                </c:pt>
                <c:pt idx="2">
                  <c:v>254</c:v>
                </c:pt>
                <c:pt idx="3">
                  <c:v>232</c:v>
                </c:pt>
                <c:pt idx="4">
                  <c:v>272</c:v>
                </c:pt>
                <c:pt idx="5">
                  <c:v>216</c:v>
                </c:pt>
                <c:pt idx="6">
                  <c:v>201</c:v>
                </c:pt>
              </c:numCache>
            </c:numRef>
          </c:val>
          <c:smooth val="0"/>
          <c:extLst>
            <c:ext xmlns:c16="http://schemas.microsoft.com/office/drawing/2014/chart" uri="{C3380CC4-5D6E-409C-BE32-E72D297353CC}">
              <c16:uniqueId val="{00000000-ED83-4CBA-80DF-8497365A2AE3}"/>
            </c:ext>
          </c:extLst>
        </c:ser>
        <c:ser>
          <c:idx val="1"/>
          <c:order val="1"/>
          <c:tx>
            <c:strRef>
              <c:f>Sheet1!$C$1</c:f>
              <c:strCache>
                <c:ptCount val="1"/>
                <c:pt idx="0">
                  <c:v>NMFS</c:v>
                </c:pt>
              </c:strCache>
            </c:strRef>
          </c:tx>
          <c:cat>
            <c:strRef>
              <c:f>Sheet1!$A$2:$A$8</c:f>
              <c:strCache>
                <c:ptCount val="7"/>
                <c:pt idx="0">
                  <c:v>FY12</c:v>
                </c:pt>
                <c:pt idx="1">
                  <c:v>FY13</c:v>
                </c:pt>
                <c:pt idx="2">
                  <c:v>FY14</c:v>
                </c:pt>
                <c:pt idx="3">
                  <c:v>FY15</c:v>
                </c:pt>
                <c:pt idx="4">
                  <c:v>FY16</c:v>
                </c:pt>
                <c:pt idx="5">
                  <c:v>FY17</c:v>
                </c:pt>
                <c:pt idx="6">
                  <c:v>FY18</c:v>
                </c:pt>
              </c:strCache>
            </c:strRef>
          </c:cat>
          <c:val>
            <c:numRef>
              <c:f>Sheet1!$C$2:$C$8</c:f>
              <c:numCache>
                <c:formatCode>General</c:formatCode>
                <c:ptCount val="7"/>
                <c:pt idx="0">
                  <c:v>648</c:v>
                </c:pt>
                <c:pt idx="1">
                  <c:v>649</c:v>
                </c:pt>
                <c:pt idx="2">
                  <c:v>702</c:v>
                </c:pt>
                <c:pt idx="3">
                  <c:v>761</c:v>
                </c:pt>
                <c:pt idx="4">
                  <c:v>738</c:v>
                </c:pt>
                <c:pt idx="5">
                  <c:v>795</c:v>
                </c:pt>
                <c:pt idx="6">
                  <c:v>710</c:v>
                </c:pt>
              </c:numCache>
            </c:numRef>
          </c:val>
          <c:smooth val="0"/>
          <c:extLst>
            <c:ext xmlns:c16="http://schemas.microsoft.com/office/drawing/2014/chart" uri="{C3380CC4-5D6E-409C-BE32-E72D297353CC}">
              <c16:uniqueId val="{00000001-ED83-4CBA-80DF-8497365A2AE3}"/>
            </c:ext>
          </c:extLst>
        </c:ser>
        <c:ser>
          <c:idx val="2"/>
          <c:order val="2"/>
          <c:tx>
            <c:strRef>
              <c:f>Sheet1!$D$1</c:f>
              <c:strCache>
                <c:ptCount val="1"/>
                <c:pt idx="0">
                  <c:v>NOS</c:v>
                </c:pt>
              </c:strCache>
            </c:strRef>
          </c:tx>
          <c:cat>
            <c:strRef>
              <c:f>Sheet1!$A$2:$A$8</c:f>
              <c:strCache>
                <c:ptCount val="7"/>
                <c:pt idx="0">
                  <c:v>FY12</c:v>
                </c:pt>
                <c:pt idx="1">
                  <c:v>FY13</c:v>
                </c:pt>
                <c:pt idx="2">
                  <c:v>FY14</c:v>
                </c:pt>
                <c:pt idx="3">
                  <c:v>FY15</c:v>
                </c:pt>
                <c:pt idx="4">
                  <c:v>FY16</c:v>
                </c:pt>
                <c:pt idx="5">
                  <c:v>FY17</c:v>
                </c:pt>
                <c:pt idx="6">
                  <c:v>FY18</c:v>
                </c:pt>
              </c:strCache>
            </c:strRef>
          </c:cat>
          <c:val>
            <c:numRef>
              <c:f>Sheet1!$D$2:$D$8</c:f>
              <c:numCache>
                <c:formatCode>General</c:formatCode>
                <c:ptCount val="7"/>
                <c:pt idx="0">
                  <c:v>115</c:v>
                </c:pt>
                <c:pt idx="1">
                  <c:v>136</c:v>
                </c:pt>
                <c:pt idx="2">
                  <c:v>140</c:v>
                </c:pt>
                <c:pt idx="3">
                  <c:v>116</c:v>
                </c:pt>
                <c:pt idx="4">
                  <c:v>123</c:v>
                </c:pt>
                <c:pt idx="5">
                  <c:v>157</c:v>
                </c:pt>
                <c:pt idx="6">
                  <c:v>132</c:v>
                </c:pt>
              </c:numCache>
            </c:numRef>
          </c:val>
          <c:smooth val="0"/>
          <c:extLst>
            <c:ext xmlns:c16="http://schemas.microsoft.com/office/drawing/2014/chart" uri="{C3380CC4-5D6E-409C-BE32-E72D297353CC}">
              <c16:uniqueId val="{00000002-ED83-4CBA-80DF-8497365A2AE3}"/>
            </c:ext>
          </c:extLst>
        </c:ser>
        <c:ser>
          <c:idx val="3"/>
          <c:order val="3"/>
          <c:tx>
            <c:strRef>
              <c:f>Sheet1!$E$1</c:f>
              <c:strCache>
                <c:ptCount val="1"/>
                <c:pt idx="0">
                  <c:v>NWS</c:v>
                </c:pt>
              </c:strCache>
            </c:strRef>
          </c:tx>
          <c:cat>
            <c:strRef>
              <c:f>Sheet1!$A$2:$A$8</c:f>
              <c:strCache>
                <c:ptCount val="7"/>
                <c:pt idx="0">
                  <c:v>FY12</c:v>
                </c:pt>
                <c:pt idx="1">
                  <c:v>FY13</c:v>
                </c:pt>
                <c:pt idx="2">
                  <c:v>FY14</c:v>
                </c:pt>
                <c:pt idx="3">
                  <c:v>FY15</c:v>
                </c:pt>
                <c:pt idx="4">
                  <c:v>FY16</c:v>
                </c:pt>
                <c:pt idx="5">
                  <c:v>FY17</c:v>
                </c:pt>
                <c:pt idx="6">
                  <c:v>FY18</c:v>
                </c:pt>
              </c:strCache>
            </c:strRef>
          </c:cat>
          <c:val>
            <c:numRef>
              <c:f>Sheet1!$E$2:$E$8</c:f>
              <c:numCache>
                <c:formatCode>General</c:formatCode>
                <c:ptCount val="7"/>
                <c:pt idx="0">
                  <c:v>214</c:v>
                </c:pt>
                <c:pt idx="1">
                  <c:v>191</c:v>
                </c:pt>
                <c:pt idx="2">
                  <c:v>207</c:v>
                </c:pt>
                <c:pt idx="3">
                  <c:v>194</c:v>
                </c:pt>
                <c:pt idx="4">
                  <c:v>196</c:v>
                </c:pt>
                <c:pt idx="5">
                  <c:v>214</c:v>
                </c:pt>
                <c:pt idx="6">
                  <c:v>196</c:v>
                </c:pt>
              </c:numCache>
            </c:numRef>
          </c:val>
          <c:smooth val="0"/>
          <c:extLst>
            <c:ext xmlns:c16="http://schemas.microsoft.com/office/drawing/2014/chart" uri="{C3380CC4-5D6E-409C-BE32-E72D297353CC}">
              <c16:uniqueId val="{00000003-ED83-4CBA-80DF-8497365A2AE3}"/>
            </c:ext>
          </c:extLst>
        </c:ser>
        <c:ser>
          <c:idx val="4"/>
          <c:order val="4"/>
          <c:tx>
            <c:strRef>
              <c:f>Sheet1!$F$1</c:f>
              <c:strCache>
                <c:ptCount val="1"/>
                <c:pt idx="0">
                  <c:v>OAR</c:v>
                </c:pt>
              </c:strCache>
            </c:strRef>
          </c:tx>
          <c:cat>
            <c:strRef>
              <c:f>Sheet1!$A$2:$A$8</c:f>
              <c:strCache>
                <c:ptCount val="7"/>
                <c:pt idx="0">
                  <c:v>FY12</c:v>
                </c:pt>
                <c:pt idx="1">
                  <c:v>FY13</c:v>
                </c:pt>
                <c:pt idx="2">
                  <c:v>FY14</c:v>
                </c:pt>
                <c:pt idx="3">
                  <c:v>FY15</c:v>
                </c:pt>
                <c:pt idx="4">
                  <c:v>FY16</c:v>
                </c:pt>
                <c:pt idx="5">
                  <c:v>FY17</c:v>
                </c:pt>
                <c:pt idx="6">
                  <c:v>FY18</c:v>
                </c:pt>
              </c:strCache>
            </c:strRef>
          </c:cat>
          <c:val>
            <c:numRef>
              <c:f>Sheet1!$F$2:$F$8</c:f>
              <c:numCache>
                <c:formatCode>General</c:formatCode>
                <c:ptCount val="7"/>
                <c:pt idx="0">
                  <c:v>716</c:v>
                </c:pt>
                <c:pt idx="1">
                  <c:v>795</c:v>
                </c:pt>
                <c:pt idx="2">
                  <c:v>776</c:v>
                </c:pt>
                <c:pt idx="3">
                  <c:v>844</c:v>
                </c:pt>
                <c:pt idx="4">
                  <c:v>864</c:v>
                </c:pt>
                <c:pt idx="5">
                  <c:v>853</c:v>
                </c:pt>
                <c:pt idx="6">
                  <c:v>830</c:v>
                </c:pt>
              </c:numCache>
            </c:numRef>
          </c:val>
          <c:smooth val="0"/>
          <c:extLst>
            <c:ext xmlns:c16="http://schemas.microsoft.com/office/drawing/2014/chart" uri="{C3380CC4-5D6E-409C-BE32-E72D297353CC}">
              <c16:uniqueId val="{00000004-ED83-4CBA-80DF-8497365A2AE3}"/>
            </c:ext>
          </c:extLst>
        </c:ser>
        <c:dLbls>
          <c:showLegendKey val="0"/>
          <c:showVal val="0"/>
          <c:showCatName val="0"/>
          <c:showSerName val="0"/>
          <c:showPercent val="0"/>
          <c:showBubbleSize val="0"/>
        </c:dLbls>
        <c:marker val="1"/>
        <c:smooth val="0"/>
        <c:axId val="120192000"/>
        <c:axId val="122947264"/>
      </c:lineChart>
      <c:catAx>
        <c:axId val="120192000"/>
        <c:scaling>
          <c:orientation val="minMax"/>
        </c:scaling>
        <c:delete val="0"/>
        <c:axPos val="b"/>
        <c:numFmt formatCode="General" sourceLinked="1"/>
        <c:majorTickMark val="out"/>
        <c:minorTickMark val="none"/>
        <c:tickLblPos val="nextTo"/>
        <c:crossAx val="122947264"/>
        <c:crosses val="autoZero"/>
        <c:auto val="1"/>
        <c:lblAlgn val="ctr"/>
        <c:lblOffset val="100"/>
        <c:noMultiLvlLbl val="0"/>
      </c:catAx>
      <c:valAx>
        <c:axId val="122947264"/>
        <c:scaling>
          <c:orientation val="minMax"/>
        </c:scaling>
        <c:delete val="0"/>
        <c:axPos val="l"/>
        <c:majorGridlines/>
        <c:title>
          <c:tx>
            <c:rich>
              <a:bodyPr rot="-5400000" vert="horz"/>
              <a:lstStyle/>
              <a:p>
                <a:pPr>
                  <a:defRPr/>
                </a:pPr>
                <a:r>
                  <a:rPr lang="en-US"/>
                  <a:t>Number of articles</a:t>
                </a:r>
              </a:p>
            </c:rich>
          </c:tx>
          <c:layout/>
          <c:overlay val="0"/>
        </c:title>
        <c:numFmt formatCode="General" sourceLinked="1"/>
        <c:majorTickMark val="out"/>
        <c:minorTickMark val="none"/>
        <c:tickLblPos val="nextTo"/>
        <c:crossAx val="120192000"/>
        <c:crosses val="autoZero"/>
        <c:crossBetween val="between"/>
      </c:valAx>
    </c:plotArea>
    <c:legend>
      <c:legendPos val="r"/>
      <c:layout/>
      <c:overlay val="0"/>
    </c:legend>
    <c:plotVisOnly val="1"/>
    <c:dispBlanksAs val="gap"/>
    <c:showDLblsOverMax val="0"/>
  </c:chart>
  <c:spPr>
    <a:ln w="19050">
      <a:solidFill>
        <a:schemeClr val="accent1"/>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0B439-FE3D-4258-80D4-AC276D36C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Dept. of Commerce / NOAA / NESDIS / NODC</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sdavis</dc:creator>
  <cp:lastModifiedBy>Sarah Davis</cp:lastModifiedBy>
  <cp:revision>2</cp:revision>
  <cp:lastPrinted>2019-04-08T18:17:00Z</cp:lastPrinted>
  <dcterms:created xsi:type="dcterms:W3CDTF">2022-05-10T19:25:00Z</dcterms:created>
  <dcterms:modified xsi:type="dcterms:W3CDTF">2022-05-10T19:25:00Z</dcterms:modified>
</cp:coreProperties>
</file>